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D96E3" w14:textId="4B57D66C" w:rsidR="00A13CC2" w:rsidRDefault="00FF6A56">
      <w:pPr>
        <w:spacing w:after="0" w:line="240" w:lineRule="auto"/>
        <w:ind w:left="0" w:firstLine="0"/>
        <w:jc w:val="center"/>
        <w:rPr>
          <w:rFonts w:ascii="Leelawadee UI" w:eastAsia="Leelawadee UI" w:hAnsi="Leelawadee UI" w:cs="Leelawadee UI"/>
          <w:b/>
          <w:sz w:val="36"/>
          <w:szCs w:val="36"/>
        </w:rPr>
      </w:pPr>
      <w:r w:rsidRPr="00FF6A56">
        <w:rPr>
          <w:rFonts w:ascii="Leelawadee UI" w:eastAsia="Leelawadee UI" w:hAnsi="Leelawadee UI" w:cs="Leelawadee UI"/>
          <w:b/>
          <w:sz w:val="36"/>
          <w:szCs w:val="36"/>
        </w:rPr>
        <w:t>OPPORTUNITIES AND CHALLENGES OF IMPLEMENTING ARTIFICIAL INTELLIGENCE IN TAX ADMINISTRATION SYSTEM</w:t>
      </w:r>
    </w:p>
    <w:p w14:paraId="5C3273D4" w14:textId="77777777" w:rsidR="00C6266C" w:rsidRPr="00BC7E3D" w:rsidRDefault="00C6266C" w:rsidP="00BC7E3D">
      <w:pPr>
        <w:spacing w:after="0" w:line="240" w:lineRule="auto"/>
        <w:ind w:left="0" w:firstLine="0"/>
        <w:jc w:val="center"/>
        <w:rPr>
          <w:rFonts w:ascii="Leelawadee UI" w:eastAsia="Leelawadee UI" w:hAnsi="Leelawadee UI" w:cs="Leelawadee UI"/>
          <w:b/>
          <w:sz w:val="24"/>
          <w:szCs w:val="24"/>
        </w:rPr>
      </w:pPr>
    </w:p>
    <w:p w14:paraId="50FA2B1E" w14:textId="06BA3E95" w:rsidR="00FF6A56" w:rsidRDefault="00FF6A56" w:rsidP="00FF6A56">
      <w:pPr>
        <w:spacing w:after="0" w:line="240" w:lineRule="auto"/>
        <w:ind w:left="0" w:firstLine="0"/>
        <w:jc w:val="center"/>
        <w:rPr>
          <w:rFonts w:ascii="Leelawadee UI Semilight" w:eastAsia="Leelawadee UI Semilight" w:hAnsi="Leelawadee UI Semilight" w:cs="Leelawadee UI Semilight"/>
          <w:sz w:val="24"/>
          <w:szCs w:val="24"/>
          <w:vertAlign w:val="superscript"/>
        </w:rPr>
      </w:pPr>
      <w:r w:rsidRPr="00FF6A56">
        <w:rPr>
          <w:rFonts w:ascii="Leelawadee UI Semilight" w:eastAsia="Leelawadee UI Semilight" w:hAnsi="Leelawadee UI Semilight" w:cs="Leelawadee UI Semilight"/>
          <w:sz w:val="24"/>
          <w:szCs w:val="24"/>
        </w:rPr>
        <w:t>Cantika Rerinda Alisawa</w:t>
      </w:r>
      <w:r w:rsidR="00880E50">
        <w:rPr>
          <w:rFonts w:ascii="Leelawadee UI Semilight" w:eastAsia="Leelawadee UI Semilight" w:hAnsi="Leelawadee UI Semilight" w:cs="Leelawadee UI Semilight"/>
          <w:sz w:val="24"/>
          <w:szCs w:val="24"/>
          <w:vertAlign w:val="superscript"/>
        </w:rPr>
        <w:t>1</w:t>
      </w:r>
      <w:r w:rsidR="00787947" w:rsidRPr="00E9209B">
        <w:rPr>
          <w:rFonts w:ascii="Leelawadee UI Semilight" w:eastAsia="Leelawadee UI Semilight" w:hAnsi="Leelawadee UI Semilight" w:cs="Leelawadee UI Semilight"/>
          <w:sz w:val="24"/>
          <w:szCs w:val="24"/>
        </w:rPr>
        <w:t xml:space="preserve">, </w:t>
      </w:r>
      <w:r w:rsidRPr="00FF6A56">
        <w:rPr>
          <w:rFonts w:ascii="Leelawadee UI Semilight" w:eastAsia="Leelawadee UI Semilight" w:hAnsi="Leelawadee UI Semilight" w:cs="Leelawadee UI Semilight"/>
          <w:sz w:val="24"/>
          <w:szCs w:val="24"/>
        </w:rPr>
        <w:t>Ayu Fury Puspita</w:t>
      </w:r>
      <w:r w:rsidR="00880E50">
        <w:rPr>
          <w:rFonts w:ascii="Leelawadee UI Semilight" w:eastAsia="Leelawadee UI Semilight" w:hAnsi="Leelawadee UI Semilight" w:cs="Leelawadee UI Semilight"/>
          <w:sz w:val="24"/>
          <w:szCs w:val="24"/>
          <w:vertAlign w:val="superscript"/>
        </w:rPr>
        <w:t>2</w:t>
      </w:r>
    </w:p>
    <w:p w14:paraId="3170C2AF" w14:textId="54994592" w:rsidR="00A13CC2" w:rsidRDefault="00000000">
      <w:pPr>
        <w:spacing w:after="0" w:line="240" w:lineRule="auto"/>
        <w:ind w:left="0" w:firstLine="0"/>
        <w:jc w:val="center"/>
        <w:rPr>
          <w:rFonts w:ascii="Leelawadee UI Semilight" w:eastAsia="Leelawadee UI Semilight" w:hAnsi="Leelawadee UI Semilight" w:cs="Leelawadee UI Semilight"/>
          <w:i/>
          <w:sz w:val="20"/>
          <w:szCs w:val="20"/>
        </w:rPr>
      </w:pPr>
      <w:r w:rsidRPr="0031372C">
        <w:rPr>
          <w:rFonts w:ascii="Leelawadee UI Semilight" w:eastAsia="Leelawadee UI Semilight" w:hAnsi="Leelawadee UI Semilight" w:cs="Leelawadee UI Semilight"/>
          <w:sz w:val="20"/>
          <w:szCs w:val="20"/>
          <w:vertAlign w:val="superscript"/>
        </w:rPr>
        <w:t>1</w:t>
      </w:r>
      <w:r w:rsidR="00DA249B">
        <w:rPr>
          <w:rFonts w:ascii="Leelawadee UI Semilight" w:eastAsia="Leelawadee UI Semilight" w:hAnsi="Leelawadee UI Semilight" w:cs="Leelawadee UI Semilight"/>
          <w:sz w:val="20"/>
          <w:szCs w:val="20"/>
          <w:vertAlign w:val="superscript"/>
        </w:rPr>
        <w:t>,</w:t>
      </w:r>
      <w:r w:rsidR="00880E50">
        <w:rPr>
          <w:rFonts w:ascii="Leelawadee UI Semilight" w:eastAsia="Leelawadee UI Semilight" w:hAnsi="Leelawadee UI Semilight" w:cs="Leelawadee UI Semilight"/>
          <w:sz w:val="20"/>
          <w:szCs w:val="20"/>
          <w:vertAlign w:val="superscript"/>
        </w:rPr>
        <w:t>2</w:t>
      </w:r>
      <w:r w:rsidR="00D3170E" w:rsidRPr="00D3170E">
        <w:rPr>
          <w:rFonts w:ascii="Leelawadee UI Semilight" w:eastAsia="Leelawadee UI Semilight" w:hAnsi="Leelawadee UI Semilight" w:cs="Leelawadee UI Semilight"/>
          <w:i/>
          <w:sz w:val="20"/>
          <w:szCs w:val="20"/>
        </w:rPr>
        <w:t xml:space="preserve">Accounting Department, Faculty of Economics and Business, </w:t>
      </w:r>
      <w:r w:rsidR="00D3170E">
        <w:rPr>
          <w:rFonts w:ascii="Leelawadee UI Semilight" w:eastAsia="Leelawadee UI Semilight" w:hAnsi="Leelawadee UI Semilight" w:cs="Leelawadee UI Semilight"/>
          <w:i/>
          <w:sz w:val="20"/>
          <w:szCs w:val="20"/>
        </w:rPr>
        <w:t xml:space="preserve">University of </w:t>
      </w:r>
      <w:r w:rsidR="00D3170E" w:rsidRPr="00D3170E">
        <w:rPr>
          <w:rFonts w:ascii="Leelawadee UI Semilight" w:eastAsia="Leelawadee UI Semilight" w:hAnsi="Leelawadee UI Semilight" w:cs="Leelawadee UI Semilight"/>
          <w:i/>
          <w:sz w:val="20"/>
          <w:szCs w:val="20"/>
        </w:rPr>
        <w:t>Brawijaya, Indonesia</w:t>
      </w:r>
    </w:p>
    <w:p w14:paraId="4DE98672" w14:textId="77777777" w:rsidR="00AD2E70" w:rsidRPr="00AD2E70" w:rsidRDefault="00AD2E70" w:rsidP="00D64FDF">
      <w:pPr>
        <w:spacing w:after="0" w:line="240" w:lineRule="auto"/>
        <w:ind w:left="0" w:firstLine="0"/>
        <w:jc w:val="left"/>
        <w:rPr>
          <w:rFonts w:ascii="Leelawadee UI Semilight" w:eastAsia="Leelawadee UI Semilight" w:hAnsi="Leelawadee UI Semilight" w:cs="Leelawadee UI Semilight"/>
          <w:iCs/>
          <w:sz w:val="24"/>
          <w:szCs w:val="24"/>
        </w:rPr>
      </w:pPr>
    </w:p>
    <w:p w14:paraId="12D79936" w14:textId="783A5A0B" w:rsidR="00A13CC2" w:rsidRDefault="00000000">
      <w:pPr>
        <w:pStyle w:val="NormalWeb"/>
        <w:spacing w:before="0" w:beforeAutospacing="0" w:after="0" w:afterAutospacing="0"/>
        <w:jc w:val="both"/>
        <w:rPr>
          <w:rFonts w:ascii="Nirmala UI Semilight" w:hAnsi="Nirmala UI Semilight" w:cs="Nirmala UI Semilight"/>
          <w:color w:val="000000"/>
          <w:sz w:val="22"/>
          <w:szCs w:val="22"/>
        </w:rPr>
      </w:pPr>
      <w:r w:rsidRPr="00E77AAE">
        <w:rPr>
          <w:rFonts w:ascii="Nirmala UI Semilight" w:hAnsi="Nirmala UI Semilight" w:cs="Nirmala UI Semilight"/>
          <w:b/>
          <w:bCs/>
          <w:color w:val="000000"/>
          <w:sz w:val="22"/>
          <w:szCs w:val="22"/>
        </w:rPr>
        <w:t xml:space="preserve">Abstract. </w:t>
      </w:r>
      <w:r w:rsidR="00FF6A56" w:rsidRPr="00FF6A56">
        <w:rPr>
          <w:rFonts w:ascii="Nirmala UI Semilight" w:hAnsi="Nirmala UI Semilight" w:cs="Nirmala UI Semilight"/>
          <w:color w:val="000000"/>
          <w:sz w:val="22"/>
          <w:szCs w:val="22"/>
        </w:rPr>
        <w:t>This study aims to explore the opportunities and challenges of implementing Artificial Intelligence (AI) in the Directorate General of Taxes' Core Tax Administration System (PSIAP) to improve tax administration efficiency and identify tax evasion, employing a qualitative research approach. The study investigates the role of AI in PSIAP and Customer Relationship Management (CRM) for enhancing tax collection and detecting risks. The results show that AI can significantly improve the effectiveness of tax administration, increase the tax ratio, and strengthen data-driven decision-making, although challenges remain in terms of taxpayer understanding, internal human resource limitations, and infrastructure costs. The novelty of this research lies in introducing the integration of AI into Indonesia's tax administration system, particularly through AI-driven analytics in CRM for detecting tax evasion. The findings contribute by providing solutions to national tax issues through improving compliance and increasing revenue with AI-enabled administrative enhancements.</w:t>
      </w:r>
    </w:p>
    <w:p w14:paraId="741D5F44" w14:textId="77777777" w:rsidR="00B9655B" w:rsidRDefault="00B9655B" w:rsidP="00B9655B">
      <w:pPr>
        <w:pStyle w:val="NormalWeb"/>
        <w:spacing w:before="0" w:beforeAutospacing="0" w:after="120" w:afterAutospacing="0"/>
        <w:jc w:val="both"/>
      </w:pPr>
    </w:p>
    <w:p w14:paraId="4F9EB626" w14:textId="474362D9" w:rsidR="00FF6A56" w:rsidRDefault="00000000" w:rsidP="00FF6A56">
      <w:pPr>
        <w:pStyle w:val="NormalWeb"/>
        <w:spacing w:before="0" w:beforeAutospacing="0" w:after="0" w:afterAutospacing="0"/>
        <w:jc w:val="both"/>
        <w:rPr>
          <w:rFonts w:ascii="Nirmala UI Semilight" w:hAnsi="Nirmala UI Semilight" w:cs="Nirmala UI Semilight"/>
          <w:color w:val="000000"/>
          <w:sz w:val="22"/>
          <w:szCs w:val="22"/>
        </w:rPr>
      </w:pPr>
      <w:r w:rsidRPr="00E77AAE">
        <w:rPr>
          <w:rFonts w:ascii="Nirmala UI Semilight" w:hAnsi="Nirmala UI Semilight" w:cs="Nirmala UI Semilight"/>
          <w:b/>
          <w:bCs/>
          <w:color w:val="000000"/>
          <w:sz w:val="22"/>
          <w:szCs w:val="22"/>
        </w:rPr>
        <w:t xml:space="preserve">Keywords: </w:t>
      </w:r>
      <w:r w:rsidR="00FF6A56" w:rsidRPr="00FF6A56">
        <w:rPr>
          <w:rFonts w:ascii="Nirmala UI Semilight" w:hAnsi="Nirmala UI Semilight" w:cs="Nirmala UI Semilight"/>
          <w:color w:val="000000"/>
          <w:sz w:val="22"/>
          <w:szCs w:val="22"/>
        </w:rPr>
        <w:t>AI Implementation</w:t>
      </w:r>
      <w:r w:rsidR="00FF6A56">
        <w:rPr>
          <w:rFonts w:ascii="Nirmala UI Semilight" w:hAnsi="Nirmala UI Semilight" w:cs="Nirmala UI Semilight"/>
          <w:color w:val="000000"/>
          <w:sz w:val="22"/>
          <w:szCs w:val="22"/>
        </w:rPr>
        <w:t xml:space="preserve">, </w:t>
      </w:r>
      <w:r w:rsidR="00FF6A56" w:rsidRPr="00FF6A56">
        <w:rPr>
          <w:rFonts w:ascii="Nirmala UI Semilight" w:hAnsi="Nirmala UI Semilight" w:cs="Nirmala UI Semilight"/>
          <w:color w:val="000000"/>
          <w:sz w:val="22"/>
          <w:szCs w:val="22"/>
        </w:rPr>
        <w:t>Compliance Risk Management</w:t>
      </w:r>
      <w:r w:rsidR="00FF6A56">
        <w:rPr>
          <w:rFonts w:ascii="Nirmala UI Semilight" w:hAnsi="Nirmala UI Semilight" w:cs="Nirmala UI Semilight"/>
          <w:color w:val="000000"/>
          <w:sz w:val="22"/>
          <w:szCs w:val="22"/>
        </w:rPr>
        <w:t xml:space="preserve">, </w:t>
      </w:r>
      <w:r w:rsidR="00FF6A56" w:rsidRPr="00FF6A56">
        <w:rPr>
          <w:rFonts w:ascii="Nirmala UI Semilight" w:hAnsi="Nirmala UI Semilight" w:cs="Nirmala UI Semilight"/>
          <w:color w:val="000000"/>
          <w:sz w:val="22"/>
          <w:szCs w:val="22"/>
        </w:rPr>
        <w:t>PSIAP</w:t>
      </w:r>
    </w:p>
    <w:p w14:paraId="12B62EAA" w14:textId="77777777" w:rsidR="00E400FC" w:rsidRPr="00FF6A56" w:rsidRDefault="00E400FC" w:rsidP="00FF6A56">
      <w:pPr>
        <w:pStyle w:val="NormalWeb"/>
        <w:spacing w:before="0" w:beforeAutospacing="0" w:after="0" w:afterAutospacing="0"/>
        <w:jc w:val="both"/>
        <w:rPr>
          <w:rFonts w:ascii="Nirmala UI Semilight" w:hAnsi="Nirmala UI Semilight" w:cs="Nirmala UI Semilight"/>
          <w:color w:val="000000"/>
          <w:sz w:val="22"/>
          <w:szCs w:val="22"/>
        </w:rPr>
      </w:pPr>
    </w:p>
    <w:p w14:paraId="1DB82AFF" w14:textId="77777777" w:rsidR="00A13CC2" w:rsidRDefault="00000000">
      <w:pPr>
        <w:pStyle w:val="Heading1"/>
        <w:numPr>
          <w:ilvl w:val="0"/>
          <w:numId w:val="22"/>
        </w:numPr>
        <w:tabs>
          <w:tab w:val="left" w:pos="284"/>
        </w:tabs>
        <w:spacing w:before="240" w:beforeAutospacing="0" w:after="120" w:afterAutospacing="0"/>
        <w:ind w:left="720"/>
        <w:rPr>
          <w:rStyle w:val="Heading1Char"/>
          <w:rFonts w:ascii="Nirmala UI Semilight" w:eastAsiaTheme="minorHAnsi" w:hAnsi="Nirmala UI Semilight" w:cs="Nirmala UI Semilight"/>
          <w:b/>
          <w:bCs/>
          <w:sz w:val="22"/>
          <w:szCs w:val="22"/>
        </w:rPr>
      </w:pPr>
      <w:r w:rsidRPr="001E1006">
        <w:rPr>
          <w:rStyle w:val="Heading1Char"/>
          <w:rFonts w:ascii="Nirmala UI Semilight" w:hAnsi="Nirmala UI Semilight" w:cs="Nirmala UI Semilight"/>
          <w:b/>
          <w:bCs/>
          <w:sz w:val="22"/>
          <w:szCs w:val="22"/>
        </w:rPr>
        <w:t>INTRODUCTION</w:t>
      </w:r>
    </w:p>
    <w:p w14:paraId="2FF6BE10" w14:textId="18BE1F92" w:rsidR="009447B7" w:rsidRDefault="00000000" w:rsidP="00E400FC">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E400FC" w:rsidRPr="00E400FC">
        <w:rPr>
          <w:rFonts w:ascii="Nirmala UI Semilight" w:eastAsia="Times New Roman" w:hAnsi="Nirmala UI Semilight" w:cs="Nirmala UI Semilight"/>
          <w:color w:val="000000"/>
        </w:rPr>
        <w:t>Industrial development in Indonesia is strongly supported by the Ministry of Industry, as evidenced by the "Making Indonesia 4.0" strategy as a roadmap in facing global competition in the Industrial Age 4.0. The Minister of Industry, Airlangga Hartarto, said that the industrial revolution 4.0 is a transformation effort towards improvement by integrating the online world and production lines in industry, where all production processes run with the internet as the main support. Technological advances encourage the Directorate General of Taxes (DGT) to innovate in electronic information systems for taxpayers. DGT as a tax administrator must optimize technological developments to streamline tax administration. Expert Staff of the Minister of Finance for Tax Regulation and Law Enforcement, Iwan Djuniardi, said that artificial intelligence (AI) technology has begun to be used for analytical activities and in the future can also continue to be improved to strengthen the tax system. In addition, DGT also needs to strive to improve the quality of effective and efficient tax administration services. With the increasing effectiveness and efficiency of tax services, taxpayer compliance will also increase in fulfilling their tax obligations.</w:t>
      </w:r>
    </w:p>
    <w:p w14:paraId="0D2A5024" w14:textId="77777777" w:rsidR="00E400FC" w:rsidRPr="00E400FC" w:rsidRDefault="00E400FC" w:rsidP="00E400FC">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E400FC">
        <w:rPr>
          <w:rFonts w:ascii="Nirmala UI Semilight" w:eastAsia="Times New Roman" w:hAnsi="Nirmala UI Semilight" w:cs="Nirmala UI Semilight"/>
          <w:color w:val="000000"/>
        </w:rPr>
        <w:t xml:space="preserve">Limitations in the research of Saragih et al. (2022) includes a broad scope related to the uneven implementation of AI in Indonesia, especially in the DGT, as well as the lack of exploration of AI technology that can improve the efficiency of tax administration and contribute to increasing the tax-to-GDP ratio. This research aims to continue a more in-depth exploration of the implementation of AI in PSIAP as a strategy to improve the country's tax </w:t>
      </w:r>
      <w:r w:rsidRPr="00E400FC">
        <w:rPr>
          <w:rFonts w:ascii="Nirmala UI Semilight" w:eastAsia="Times New Roman" w:hAnsi="Nirmala UI Semilight" w:cs="Nirmala UI Semilight"/>
          <w:color w:val="000000"/>
        </w:rPr>
        <w:lastRenderedPageBreak/>
        <w:t>ratio and a redesigned CRM business process to identify tax evasion. There is still a lack of relevant research on the application of AI to modernize the tax administration system in Indonesia, so this research is important to fill the gap by exploring the opportunities and challenges of implementing AI in the tax administration system.</w:t>
      </w:r>
    </w:p>
    <w:p w14:paraId="06417891" w14:textId="63AA5FF6" w:rsidR="00E400FC" w:rsidRDefault="00E400FC" w:rsidP="00E400FC">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E400FC">
        <w:rPr>
          <w:rFonts w:ascii="Nirmala UI Semilight" w:eastAsia="Times New Roman" w:hAnsi="Nirmala UI Semilight" w:cs="Nirmala UI Semilight"/>
          <w:color w:val="000000"/>
        </w:rPr>
        <w:t>Based on the background that has been described, this research focuses on the opportunities and challenges of AI implementation used in PSIAP as a strategy in increasing the country's tax ratio as well as the redesigned CRM business process in PSIAP to identify tax evasion. There are still not many relevant studies on the application of AI to modernize the tax administration system in Indonesia and generally discuss the application of AI for public management and taxation. Therefore, the researcher is interested in examining "Opportunities and Challenges of AI Implementation in Tax Administration System".</w:t>
      </w:r>
    </w:p>
    <w:p w14:paraId="68A6439F" w14:textId="77777777" w:rsidR="009447B7" w:rsidRDefault="009447B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26E08CCF" w14:textId="77777777" w:rsidR="00A13CC2" w:rsidRDefault="00000000">
      <w:pPr>
        <w:pStyle w:val="Heading1"/>
        <w:numPr>
          <w:ilvl w:val="0"/>
          <w:numId w:val="22"/>
        </w:numPr>
        <w:tabs>
          <w:tab w:val="left" w:pos="284"/>
        </w:tabs>
        <w:spacing w:before="0" w:beforeAutospacing="0" w:after="120" w:afterAutospacing="0"/>
        <w:ind w:left="0" w:firstLine="0"/>
        <w:rPr>
          <w:rFonts w:ascii="Nirmala UI Semilight" w:hAnsi="Nirmala UI Semilight" w:cs="Nirmala UI Semilight"/>
          <w:sz w:val="22"/>
          <w:szCs w:val="22"/>
        </w:rPr>
      </w:pPr>
      <w:r w:rsidRPr="00E77AAE">
        <w:rPr>
          <w:rFonts w:ascii="Nirmala UI Semilight" w:hAnsi="Nirmala UI Semilight" w:cs="Nirmala UI Semilight"/>
          <w:sz w:val="22"/>
          <w:szCs w:val="22"/>
        </w:rPr>
        <w:t xml:space="preserve">LITERATURE </w:t>
      </w:r>
      <w:r w:rsidR="00924886" w:rsidRPr="00E77AAE">
        <w:rPr>
          <w:rFonts w:ascii="Nirmala UI Semilight" w:hAnsi="Nirmala UI Semilight" w:cs="Nirmala UI Semilight"/>
          <w:sz w:val="22"/>
          <w:szCs w:val="22"/>
        </w:rPr>
        <w:t xml:space="preserve">REVIEW </w:t>
      </w:r>
    </w:p>
    <w:p w14:paraId="0F8696C7" w14:textId="2C48416E" w:rsidR="00A13CC2" w:rsidRDefault="0003474F">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Artificial Intelligence</w:t>
      </w:r>
    </w:p>
    <w:p w14:paraId="20BA9345" w14:textId="77777777" w:rsidR="0003474F" w:rsidRPr="0003474F" w:rsidRDefault="00000000" w:rsidP="0003474F">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03474F" w:rsidRPr="0003474F">
        <w:rPr>
          <w:rFonts w:ascii="Nirmala UI Semilight" w:eastAsia="Times New Roman" w:hAnsi="Nirmala UI Semilight" w:cs="Nirmala UI Semilight"/>
          <w:color w:val="000000"/>
        </w:rPr>
        <w:t xml:space="preserve">Artificial Intelligence (AI) is a branch of computer science that deals with the design of intelligent computer systems, which </w:t>
      </w:r>
      <w:proofErr w:type="gramStart"/>
      <w:r w:rsidR="0003474F" w:rsidRPr="0003474F">
        <w:rPr>
          <w:rFonts w:ascii="Nirmala UI Semilight" w:eastAsia="Times New Roman" w:hAnsi="Nirmala UI Semilight" w:cs="Nirmala UI Semilight"/>
          <w:color w:val="000000"/>
        </w:rPr>
        <w:t>are able to</w:t>
      </w:r>
      <w:proofErr w:type="gramEnd"/>
      <w:r w:rsidR="0003474F" w:rsidRPr="0003474F">
        <w:rPr>
          <w:rFonts w:ascii="Nirmala UI Semilight" w:eastAsia="Times New Roman" w:hAnsi="Nirmala UI Semilight" w:cs="Nirmala UI Semilight"/>
          <w:color w:val="000000"/>
        </w:rPr>
        <w:t xml:space="preserve"> imitate human abilities, such as understanding language, learning, reasoning, and solving problems (Barr &amp; Feigenbaum, 1982; Jaya et al., 2018). The main goal of AI is to create systems that can perform tasks that usually require human intelligence, thereby reducing the human workload (Singh &amp; Sukhvinder, 2010).</w:t>
      </w:r>
    </w:p>
    <w:p w14:paraId="3952FEE6" w14:textId="04826DE6" w:rsidR="00A13CC2" w:rsidRDefault="0003474F" w:rsidP="0003474F">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03474F">
        <w:rPr>
          <w:rFonts w:ascii="Nirmala UI Semilight" w:eastAsia="Times New Roman" w:hAnsi="Nirmala UI Semilight" w:cs="Nirmala UI Semilight"/>
          <w:color w:val="000000"/>
        </w:rPr>
        <w:t>In tax administration, the application of AI provides benefits in the form of efficiency, accuracy, and faster decision making. AI is used to automate public services, extract important data, detect tax fraud, scan tax reports, estimate tax costs, increase transparency, and identify potential tax deductions and credits (PR MENPANRB, 2020; Wirtz &amp; Müller, 2019). With the application of AI, tax monitoring becomes more effective, increases taxpayer compliance, and has an impact on increasing the tax ratio.</w:t>
      </w:r>
    </w:p>
    <w:p w14:paraId="37296069" w14:textId="77777777" w:rsidR="00787947" w:rsidRDefault="0078794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400996A5" w14:textId="1CB566ED" w:rsidR="00A13CC2" w:rsidRDefault="00895C92">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Modernization of the Tax Administration System</w:t>
      </w:r>
    </w:p>
    <w:p w14:paraId="4AE510A8" w14:textId="748D82D2" w:rsidR="00A13CC2" w:rsidRDefault="00000000"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895C92" w:rsidRPr="00895C92">
        <w:rPr>
          <w:rFonts w:ascii="Nirmala UI Semilight" w:eastAsia="Times New Roman" w:hAnsi="Nirmala UI Semilight" w:cs="Nirmala UI Semilight"/>
          <w:color w:val="000000"/>
        </w:rPr>
        <w:t>Modernization of tax administration is part of tax reform that aims to improve the efficiency and effectiveness of tax services (Pandiangan, 2007; Aryati &amp; Putritanti, 2017). Modernization includes organizational restructuring, business process improvement through information technology, and human resource management. The goal is to expand the scope of taxation, improve compliance, and reduce tax avoidance and manipulation (Sanford in Ott, 1998; Silvani, 1992).</w:t>
      </w:r>
    </w:p>
    <w:p w14:paraId="070202A9" w14:textId="77777777" w:rsidR="00787947" w:rsidRDefault="0078794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50BCD944" w14:textId="72CCE871" w:rsidR="00A13CC2" w:rsidRDefault="00895C92">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Compliance Risk Management</w:t>
      </w:r>
    </w:p>
    <w:p w14:paraId="18B16A70" w14:textId="41ED2120" w:rsidR="00A13CC2" w:rsidRDefault="00000000" w:rsidP="00895C92">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895C92" w:rsidRPr="00895C92">
        <w:rPr>
          <w:rFonts w:ascii="Nirmala UI Semilight" w:eastAsia="Times New Roman" w:hAnsi="Nirmala UI Semilight" w:cs="Nirmala UI Semilight"/>
          <w:color w:val="000000"/>
        </w:rPr>
        <w:t>Compliance Risk Management (CRM) is a systematic process for identifying, assessing, and addressing tax compliance risks (OECD, 2004). DGT uses CRM to improve taxpayer compliance through fair and transparent risk management, including through transfer pricing and the application of business intelligence (SE-24/PJ/2019; SE-39/PJ/2021). Compliance risk maps help the DGT determine the treatment of taxpayers according to the level of risk, thereby improving supervisory effectiveness and promoting sustainable compliance.</w:t>
      </w:r>
    </w:p>
    <w:p w14:paraId="492E3B15" w14:textId="77777777" w:rsidR="00787947" w:rsidRDefault="0078794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40A54A47" w14:textId="7AB0F564" w:rsidR="00787947" w:rsidRDefault="00895C92" w:rsidP="00787947">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Tax Avoidance</w:t>
      </w:r>
    </w:p>
    <w:p w14:paraId="78747950" w14:textId="11EAA077" w:rsidR="00787947" w:rsidRPr="00787947" w:rsidRDefault="00787947" w:rsidP="00895C92">
      <w:pPr>
        <w:tabs>
          <w:tab w:val="left" w:pos="284"/>
        </w:tabs>
        <w:spacing w:after="0" w:line="240" w:lineRule="auto"/>
        <w:ind w:left="0" w:firstLine="0"/>
        <w:rPr>
          <w:rFonts w:ascii="Nirmala UI Semilight" w:eastAsia="Times New Roman" w:hAnsi="Nirmala UI Semilight" w:cs="Nirmala UI Semilight"/>
          <w:color w:val="000000"/>
        </w:rPr>
      </w:pPr>
      <w:r w:rsidRPr="00787947">
        <w:rPr>
          <w:rFonts w:ascii="Nirmala UI Semilight" w:eastAsia="Times New Roman" w:hAnsi="Nirmala UI Semilight" w:cs="Nirmala UI Semilight"/>
          <w:color w:val="000000"/>
        </w:rPr>
        <w:tab/>
      </w:r>
      <w:r w:rsidR="00895C92" w:rsidRPr="00895C92">
        <w:rPr>
          <w:rFonts w:ascii="Nirmala UI Semilight" w:eastAsia="Times New Roman" w:hAnsi="Nirmala UI Semilight" w:cs="Nirmala UI Semilight"/>
          <w:color w:val="000000"/>
        </w:rPr>
        <w:t xml:space="preserve">Tax avoidance is a legal effort to minimize taxes owed, while tax evasion is a violation of the law by hiding income or assets (Taylor &amp; Richardson, 2012; Pohan, 2013; Indriani &amp; Juniarti, </w:t>
      </w:r>
      <w:r w:rsidR="00895C92" w:rsidRPr="00895C92">
        <w:rPr>
          <w:rFonts w:ascii="Nirmala UI Semilight" w:eastAsia="Times New Roman" w:hAnsi="Nirmala UI Semilight" w:cs="Nirmala UI Semilight"/>
          <w:color w:val="000000"/>
        </w:rPr>
        <w:lastRenderedPageBreak/>
        <w:t>2020). Both can reduce tax revenue, so managing tax avoidance is important to create a fair and efficient tax system.</w:t>
      </w:r>
    </w:p>
    <w:p w14:paraId="40D637DC" w14:textId="77777777" w:rsidR="002109F5" w:rsidRDefault="002109F5"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694D13BE" w14:textId="77777777" w:rsidR="00A13CC2" w:rsidRDefault="00000000">
      <w:pPr>
        <w:pStyle w:val="Heading1"/>
        <w:numPr>
          <w:ilvl w:val="0"/>
          <w:numId w:val="22"/>
        </w:numPr>
        <w:tabs>
          <w:tab w:val="left" w:pos="284"/>
        </w:tabs>
        <w:spacing w:before="0" w:beforeAutospacing="0" w:after="120" w:afterAutospacing="0"/>
        <w:ind w:left="0" w:firstLine="0"/>
        <w:rPr>
          <w:rFonts w:ascii="Nirmala UI Semilight" w:hAnsi="Nirmala UI Semilight" w:cs="Nirmala UI Semilight"/>
          <w:sz w:val="22"/>
          <w:szCs w:val="22"/>
        </w:rPr>
      </w:pPr>
      <w:r>
        <w:rPr>
          <w:rFonts w:ascii="Nirmala UI Semilight" w:hAnsi="Nirmala UI Semilight" w:cs="Nirmala UI Semilight"/>
          <w:sz w:val="22"/>
          <w:szCs w:val="22"/>
        </w:rPr>
        <w:t>RESEARCH METHODOLOGY</w:t>
      </w:r>
    </w:p>
    <w:p w14:paraId="4CFB3DAF" w14:textId="77777777" w:rsidR="00A13CC2" w:rsidRDefault="00000000">
      <w:pPr>
        <w:pStyle w:val="Heading2"/>
        <w:numPr>
          <w:ilvl w:val="0"/>
          <w:numId w:val="26"/>
        </w:numPr>
        <w:spacing w:before="0" w:line="240" w:lineRule="auto"/>
        <w:ind w:left="360"/>
        <w:rPr>
          <w:rFonts w:eastAsia="Times New Roman"/>
        </w:rPr>
      </w:pPr>
      <w:r w:rsidRPr="00E015E2">
        <w:rPr>
          <w:rFonts w:ascii="Nirmala UI Semilight" w:eastAsia="Times New Roman" w:hAnsi="Nirmala UI Semilight" w:cs="Nirmala UI Semilight"/>
          <w:i/>
          <w:iCs/>
          <w:color w:val="auto"/>
          <w:sz w:val="22"/>
          <w:szCs w:val="22"/>
        </w:rPr>
        <w:t>Type of Research</w:t>
      </w:r>
    </w:p>
    <w:p w14:paraId="5D7A3E5C" w14:textId="75ABDE27" w:rsidR="00A13CC2" w:rsidRPr="002109F5" w:rsidRDefault="001C30F8">
      <w:pPr>
        <w:pStyle w:val="ListParagraph"/>
        <w:tabs>
          <w:tab w:val="left" w:pos="340"/>
        </w:tabs>
        <w:spacing w:after="120" w:line="240" w:lineRule="auto"/>
        <w:ind w:left="0"/>
        <w:contextualSpacing w:val="0"/>
        <w:rPr>
          <w:rFonts w:ascii="Nirmala UI Semilight" w:eastAsia="Times New Roman" w:hAnsi="Nirmala UI Semilight" w:cs="Nirmala UI Semilight"/>
          <w:color w:val="000000"/>
        </w:rPr>
      </w:pPr>
      <w:r w:rsidRPr="001C30F8">
        <w:rPr>
          <w:rFonts w:ascii="Nirmala UI Semilight" w:eastAsia="Times New Roman" w:hAnsi="Nirmala UI Semilight" w:cs="Nirmala UI Semilight"/>
          <w:color w:val="000000"/>
        </w:rPr>
        <w:t>This research uses a qualitative approach with the main objective to analyze and describe the opportunities and challenges of applying artificial intelligence (AI) to the tax administration system. In addition, this research also analyzes the Customer Relationship Management (CRM) business process in PSIAP to identify potential tax evasion. A qualitative approach was chosen because it emphasizes an in-depth understanding of the phenomenon through data collection in the form of narrative, observation, and documentation. Data analysis was conducted using the Miles and Huberman model which consists of three stages, namely data reduction, data presentation, and conclusion drawing.</w:t>
      </w:r>
    </w:p>
    <w:p w14:paraId="35B73CD1" w14:textId="77777777" w:rsidR="00A13CC2" w:rsidRDefault="00000000">
      <w:pPr>
        <w:pStyle w:val="Heading2"/>
        <w:numPr>
          <w:ilvl w:val="0"/>
          <w:numId w:val="26"/>
        </w:numPr>
        <w:spacing w:before="0" w:line="240" w:lineRule="auto"/>
        <w:ind w:left="360"/>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Research Object</w:t>
      </w:r>
    </w:p>
    <w:p w14:paraId="51A4FF42" w14:textId="3D998673" w:rsidR="00A13CC2" w:rsidRDefault="00000000">
      <w:pPr>
        <w:pStyle w:val="ListParagraph"/>
        <w:tabs>
          <w:tab w:val="left" w:pos="340"/>
        </w:tabs>
        <w:spacing w:after="120" w:line="240" w:lineRule="auto"/>
        <w:ind w:left="0" w:firstLine="0"/>
        <w:contextualSpacing w:val="0"/>
        <w:rPr>
          <w:rFonts w:ascii="Nirmala UI Semilight" w:eastAsia="Times New Roman" w:hAnsi="Nirmala UI Semilight" w:cs="Nirmala UI Semilight"/>
          <w:color w:val="000000"/>
          <w:sz w:val="20"/>
          <w:szCs w:val="20"/>
        </w:rPr>
      </w:pPr>
      <w:r>
        <w:rPr>
          <w:rFonts w:ascii="Nirmala UI Semilight" w:eastAsia="Times New Roman" w:hAnsi="Nirmala UI Semilight" w:cs="Nirmala UI Semilight"/>
          <w:color w:val="000000"/>
        </w:rPr>
        <w:tab/>
      </w:r>
      <w:r w:rsidR="001C30F8" w:rsidRPr="001C30F8">
        <w:rPr>
          <w:rFonts w:ascii="Nirmala UI Semilight" w:eastAsia="Times New Roman" w:hAnsi="Nirmala UI Semilight" w:cs="Nirmala UI Semilight"/>
          <w:color w:val="000000"/>
        </w:rPr>
        <w:t>The object of this research is the implementation of artificial intelligence in the Core Tax Administration System (PSIAP) and CRM business processes at the Directorate General of Taxes. The research focus is directed at efforts to improve the efficiency of tax administration as well as the identification of tax evasion through AI technology. The research informants were purposively sampled by selecting key informants who are considered relevant and have an in-depth understanding of the implementation of AI in the tax administration system.</w:t>
      </w:r>
    </w:p>
    <w:p w14:paraId="41E15EF1" w14:textId="77777777" w:rsidR="00A13CC2" w:rsidRDefault="00000000">
      <w:pPr>
        <w:pStyle w:val="Heading2"/>
        <w:numPr>
          <w:ilvl w:val="0"/>
          <w:numId w:val="26"/>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 xml:space="preserve">Data </w:t>
      </w:r>
      <w:r w:rsidR="003F741B">
        <w:rPr>
          <w:rFonts w:ascii="Nirmala UI Semilight" w:eastAsia="Times New Roman" w:hAnsi="Nirmala UI Semilight" w:cs="Nirmala UI Semilight"/>
          <w:i/>
          <w:iCs/>
          <w:color w:val="auto"/>
          <w:sz w:val="22"/>
          <w:szCs w:val="22"/>
        </w:rPr>
        <w:t xml:space="preserve">Source and </w:t>
      </w:r>
      <w:r>
        <w:rPr>
          <w:rFonts w:ascii="Nirmala UI Semilight" w:eastAsia="Times New Roman" w:hAnsi="Nirmala UI Semilight" w:cs="Nirmala UI Semilight"/>
          <w:i/>
          <w:iCs/>
          <w:color w:val="auto"/>
          <w:sz w:val="22"/>
          <w:szCs w:val="22"/>
        </w:rPr>
        <w:t xml:space="preserve">Collection </w:t>
      </w:r>
      <w:r w:rsidR="00D0021E">
        <w:rPr>
          <w:rFonts w:ascii="Nirmala UI Semilight" w:eastAsia="Times New Roman" w:hAnsi="Nirmala UI Semilight" w:cs="Nirmala UI Semilight"/>
          <w:i/>
          <w:iCs/>
          <w:color w:val="auto"/>
          <w:sz w:val="22"/>
          <w:szCs w:val="22"/>
        </w:rPr>
        <w:t xml:space="preserve">Method </w:t>
      </w:r>
    </w:p>
    <w:p w14:paraId="40479B52" w14:textId="26C1B5B7" w:rsidR="00F74CC0" w:rsidRDefault="00000000">
      <w:pPr>
        <w:pStyle w:val="ListParagraph"/>
        <w:tabs>
          <w:tab w:val="left" w:pos="426"/>
        </w:tabs>
        <w:spacing w:after="0" w:line="240" w:lineRule="auto"/>
        <w:ind w:left="0" w:firstLine="0"/>
        <w:contextualSpacing w:val="0"/>
        <w:rPr>
          <w:rFonts w:ascii="Nirmala UI Semilight" w:eastAsia="Times New Roman" w:hAnsi="Nirmala UI Semilight" w:cs="Nirmala UI Semilight"/>
          <w:color w:val="000000"/>
        </w:rPr>
      </w:pPr>
      <w:bookmarkStart w:id="0" w:name="_Hlk160379845"/>
      <w:r>
        <w:rPr>
          <w:rFonts w:ascii="Nirmala UI Semilight" w:eastAsia="Times New Roman" w:hAnsi="Nirmala UI Semilight" w:cs="Nirmala UI Semilight"/>
          <w:color w:val="000000"/>
        </w:rPr>
        <w:tab/>
      </w:r>
      <w:r w:rsidR="001C30F8" w:rsidRPr="001C30F8">
        <w:rPr>
          <w:rFonts w:ascii="Nirmala UI Semilight" w:eastAsia="Times New Roman" w:hAnsi="Nirmala UI Semilight" w:cs="Nirmala UI Semilight"/>
          <w:color w:val="000000"/>
        </w:rPr>
        <w:t xml:space="preserve">The data used in this study consisted of </w:t>
      </w:r>
      <w:proofErr w:type="gramStart"/>
      <w:r w:rsidR="001C30F8" w:rsidRPr="001C30F8">
        <w:rPr>
          <w:rFonts w:ascii="Nirmala UI Semilight" w:eastAsia="Times New Roman" w:hAnsi="Nirmala UI Semilight" w:cs="Nirmala UI Semilight"/>
          <w:color w:val="000000"/>
        </w:rPr>
        <w:t>primary data</w:t>
      </w:r>
      <w:proofErr w:type="gramEnd"/>
      <w:r w:rsidR="001C30F8" w:rsidRPr="001C30F8">
        <w:rPr>
          <w:rFonts w:ascii="Nirmala UI Semilight" w:eastAsia="Times New Roman" w:hAnsi="Nirmala UI Semilight" w:cs="Nirmala UI Semilight"/>
          <w:color w:val="000000"/>
        </w:rPr>
        <w:t xml:space="preserve"> and secondary data. Primary data was obtained through in-depth interviews with key informants scheduled for March-April 2024, as well as direct observation conducted in March 2024 to record behaviors and processes in the research environment. Meanwhile, secondary data was obtained from documentation in the form of books, scientific articles, research reports, and other relevant literature sources.</w:t>
      </w:r>
    </w:p>
    <w:bookmarkEnd w:id="0"/>
    <w:p w14:paraId="260B2792" w14:textId="0AB0DDEF" w:rsidR="00A13CC2" w:rsidRDefault="002B25BE">
      <w:pPr>
        <w:pStyle w:val="Heading2"/>
        <w:numPr>
          <w:ilvl w:val="0"/>
          <w:numId w:val="26"/>
        </w:numPr>
        <w:spacing w:before="120" w:line="240" w:lineRule="auto"/>
        <w:ind w:left="357" w:hanging="357"/>
        <w:rPr>
          <w:rFonts w:eastAsia="Times New Roman"/>
        </w:rPr>
      </w:pPr>
      <w:r>
        <w:rPr>
          <w:rFonts w:ascii="Nirmala UI Semilight" w:eastAsia="Times New Roman" w:hAnsi="Nirmala UI Semilight" w:cs="Nirmala UI Semilight"/>
          <w:i/>
          <w:iCs/>
          <w:color w:val="auto"/>
          <w:sz w:val="22"/>
          <w:szCs w:val="22"/>
        </w:rPr>
        <w:t>Data Analysis Method</w:t>
      </w:r>
    </w:p>
    <w:p w14:paraId="2C2E6474" w14:textId="1AA19BFC" w:rsidR="00787947" w:rsidRDefault="00000000" w:rsidP="002B25BE">
      <w:pPr>
        <w:pStyle w:val="ListParagraph"/>
        <w:tabs>
          <w:tab w:val="left" w:pos="340"/>
        </w:tabs>
        <w:spacing w:after="0" w:line="240" w:lineRule="auto"/>
        <w:ind w:left="0" w:firstLine="0"/>
        <w:contextualSpacing w:val="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1C30F8" w:rsidRPr="001C30F8">
        <w:rPr>
          <w:rFonts w:ascii="Nirmala UI Semilight" w:eastAsia="Times New Roman" w:hAnsi="Nirmala UI Semilight" w:cs="Nirmala UI Semilight"/>
          <w:color w:val="000000"/>
        </w:rPr>
        <w:t>Data analysis in this study used the Miles and Huberman model which consists of three stages, namely data reduction, data presentation, and conclusion drawing. Data reduction is done by selecting, focusing, simplifying, extracting, and transforming raw data obtained from interviews, observations, and documentation. Data presentation is done to find meaningful patterns by compiling data in the form of narratives, tables, and pictures. The last stage is conclusion drawing, where initial conclusions can be temporary until they are strengthened with valid evidence. To maintain data validity, this research also applies triangulation techniques which include source triangulation, method triangulation, and investigator triangulation so that the research results are more accurate and reliable.</w:t>
      </w:r>
    </w:p>
    <w:p w14:paraId="1B1579C9" w14:textId="77777777" w:rsidR="002B25BE" w:rsidRDefault="002B25BE" w:rsidP="002B25BE">
      <w:pPr>
        <w:pStyle w:val="ListParagraph"/>
        <w:tabs>
          <w:tab w:val="left" w:pos="340"/>
        </w:tabs>
        <w:spacing w:after="0" w:line="240" w:lineRule="auto"/>
        <w:ind w:left="0" w:firstLine="0"/>
        <w:contextualSpacing w:val="0"/>
        <w:rPr>
          <w:rFonts w:ascii="Nirmala UI Semilight" w:eastAsia="Times New Roman" w:hAnsi="Nirmala UI Semilight" w:cs="Nirmala UI Semilight"/>
          <w:color w:val="000000"/>
        </w:rPr>
      </w:pPr>
    </w:p>
    <w:p w14:paraId="5176401A" w14:textId="77777777" w:rsidR="00A13CC2" w:rsidRDefault="002B2AB9" w:rsidP="002B25BE">
      <w:pPr>
        <w:pStyle w:val="Heading1"/>
        <w:numPr>
          <w:ilvl w:val="0"/>
          <w:numId w:val="22"/>
        </w:numPr>
        <w:tabs>
          <w:tab w:val="left" w:pos="284"/>
        </w:tabs>
        <w:spacing w:before="0" w:beforeAutospacing="0" w:after="0" w:afterAutospacing="0"/>
        <w:ind w:left="0" w:firstLine="0"/>
        <w:rPr>
          <w:rFonts w:ascii="Nirmala UI Semilight" w:hAnsi="Nirmala UI Semilight" w:cs="Nirmala UI Semilight"/>
          <w:sz w:val="22"/>
          <w:szCs w:val="22"/>
        </w:rPr>
      </w:pPr>
      <w:r w:rsidRPr="00E015E2">
        <w:rPr>
          <w:rFonts w:ascii="Nirmala UI Semilight" w:hAnsi="Nirmala UI Semilight" w:cs="Nirmala UI Semilight"/>
          <w:sz w:val="22"/>
          <w:szCs w:val="22"/>
        </w:rPr>
        <w:t>RESULT AND DISCUSSION</w:t>
      </w:r>
    </w:p>
    <w:p w14:paraId="4085F458" w14:textId="151A0971" w:rsidR="00A13CC2" w:rsidRDefault="008B15BE">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Renewal of the Core Tax Administration System</w:t>
      </w:r>
    </w:p>
    <w:p w14:paraId="2E399927" w14:textId="77777777" w:rsidR="008B15BE" w:rsidRPr="008B15BE" w:rsidRDefault="00000000" w:rsidP="008B1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8B15BE" w:rsidRPr="008B15BE">
        <w:rPr>
          <w:rFonts w:ascii="Nirmala UI Semilight" w:eastAsia="Times New Roman" w:hAnsi="Nirmala UI Semilight" w:cs="Nirmala UI Semilight"/>
          <w:color w:val="000000"/>
        </w:rPr>
        <w:t xml:space="preserve">The Core Tax Administration System (PSIAP) is a reform that replaces the SIDJP and Approweb systems, which requires a specialized team with four main functions. Before implementing the Commercial Off-The-Shelf (COTS) based core tax system, DGT updated the SOPs from 14 to 21 business processes. The core tax system aims to fulfill the needs of DGT's business processes and integrate with other systems to support the Tax Administration Reform </w:t>
      </w:r>
      <w:r w:rsidR="008B15BE" w:rsidRPr="008B15BE">
        <w:rPr>
          <w:rFonts w:ascii="Nirmala UI Semilight" w:eastAsia="Times New Roman" w:hAnsi="Nirmala UI Semilight" w:cs="Nirmala UI Semilight"/>
          <w:color w:val="000000"/>
        </w:rPr>
        <w:lastRenderedPageBreak/>
        <w:t>Project. These updates affect payments, tax services, registration, Taxpayer Account Management (TAM), and tax return reporting, providing simplicity and efficiency. One prominent innovation is the use of facial biometric verification for registration, which speeds up the process and provides taxpayer data security.</w:t>
      </w:r>
    </w:p>
    <w:p w14:paraId="72B52CA1" w14:textId="1F422E15" w:rsidR="008B15BE" w:rsidRPr="008B15BE" w:rsidRDefault="008B15BE" w:rsidP="008B1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8B15BE">
        <w:rPr>
          <w:rFonts w:ascii="Nirmala UI Semilight" w:eastAsia="Times New Roman" w:hAnsi="Nirmala UI Semilight" w:cs="Nirmala UI Semilight"/>
          <w:color w:val="000000"/>
        </w:rPr>
        <w:t xml:space="preserve">Business intelligence (BI) at the DGT is very much about data management, involving predictive analytics, descriptive analytics, and prescriptive analytics, as well as Natural Language Processing (NLP) for work efficiency. Predictive analytics </w:t>
      </w:r>
      <w:proofErr w:type="gramStart"/>
      <w:r w:rsidRPr="008B15BE">
        <w:rPr>
          <w:rFonts w:ascii="Nirmala UI Semilight" w:eastAsia="Times New Roman" w:hAnsi="Nirmala UI Semilight" w:cs="Nirmala UI Semilight"/>
          <w:color w:val="000000"/>
        </w:rPr>
        <w:t>is</w:t>
      </w:r>
      <w:proofErr w:type="gramEnd"/>
      <w:r w:rsidRPr="008B15BE">
        <w:rPr>
          <w:rFonts w:ascii="Nirmala UI Semilight" w:eastAsia="Times New Roman" w:hAnsi="Nirmala UI Semilight" w:cs="Nirmala UI Semilight"/>
          <w:color w:val="000000"/>
        </w:rPr>
        <w:t xml:space="preserve"> used to analyze historical data and predict taxpayers' ability to pay. Descriptive analytics is used for management reporting purposes, such as in the "Revenue Dashboard" and "Smartboard". Prescriptive analytics is used in CRM to provide recommendations to taxpayers. NLP helps automate various processes that previously required human intervention. CRM and BI support the DGT in dealing with taxpayers in a fair and transparent manner, as well as creating more effective and efficient resource management to drive sustainable taxpayer compliance.</w:t>
      </w:r>
    </w:p>
    <w:p w14:paraId="6DFBB812" w14:textId="48EEA702" w:rsidR="00A13CC2" w:rsidRDefault="008B15BE" w:rsidP="008B1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8B15BE">
        <w:rPr>
          <w:rFonts w:ascii="Nirmala UI Semilight" w:eastAsia="Times New Roman" w:hAnsi="Nirmala UI Semilight" w:cs="Nirmala UI Semilight"/>
          <w:color w:val="000000"/>
        </w:rPr>
        <w:t xml:space="preserve">With large volumes of data from internal and external sources, DGT is required to have a system that </w:t>
      </w:r>
      <w:proofErr w:type="gramStart"/>
      <w:r w:rsidRPr="008B15BE">
        <w:rPr>
          <w:rFonts w:ascii="Nirmala UI Semilight" w:eastAsia="Times New Roman" w:hAnsi="Nirmala UI Semilight" w:cs="Nirmala UI Semilight"/>
          <w:color w:val="000000"/>
        </w:rPr>
        <w:t>is able to</w:t>
      </w:r>
      <w:proofErr w:type="gramEnd"/>
      <w:r w:rsidRPr="008B15BE">
        <w:rPr>
          <w:rFonts w:ascii="Nirmala UI Semilight" w:eastAsia="Times New Roman" w:hAnsi="Nirmala UI Semilight" w:cs="Nirmala UI Semilight"/>
          <w:color w:val="000000"/>
        </w:rPr>
        <w:t xml:space="preserve"> process and analyze data efficiently. CRM and BI become the backbone of DGT in processing data in the Tax Administration Core System, ensuring every aspect of taxation is carried out in real-time and integrated, providing a solid foundation for analyzing taxpayer compliance risks with more accurate data, greater accessibility, and overall efficiency and effectiveness of tax administration.</w:t>
      </w:r>
    </w:p>
    <w:p w14:paraId="343F2F11" w14:textId="77777777" w:rsidR="002B25BE" w:rsidRDefault="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15F983FB" w14:textId="475DA180" w:rsidR="002B25BE" w:rsidRDefault="008B15BE" w:rsidP="002B25BE">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Opportunities for AI Implementation in the Tax Administration System</w:t>
      </w:r>
    </w:p>
    <w:p w14:paraId="519FD135" w14:textId="77777777" w:rsidR="00885AB8" w:rsidRPr="00885AB8" w:rsidRDefault="002B25BE" w:rsidP="00885AB8">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885AB8" w:rsidRPr="00885AB8">
        <w:rPr>
          <w:rFonts w:ascii="Nirmala UI Semilight" w:eastAsia="Times New Roman" w:hAnsi="Nirmala UI Semilight" w:cs="Nirmala UI Semilight"/>
          <w:color w:val="000000"/>
        </w:rPr>
        <w:t>The implementation of AI in the tax administration system can help tax authorities reduce audit processes, automate data processing, policy analysis, and perform administrative tasks more effectively and efficiently so that allocated resources can focus on more complex and value-added tasks.  Tax authorities can make more informed, effective, and efficient decisions by relying on objective data and analysis. From the data obtained, tax authorities can identify taxpayers who have the potential to evade taxes, predict taxpayer behavior, and can optimize the allocation of their human resources.</w:t>
      </w:r>
    </w:p>
    <w:p w14:paraId="08987F3C" w14:textId="0BA4D597" w:rsidR="002B25BE" w:rsidRDefault="00885AB8" w:rsidP="00885AB8">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885AB8">
        <w:rPr>
          <w:rFonts w:ascii="Nirmala UI Semilight" w:eastAsia="Times New Roman" w:hAnsi="Nirmala UI Semilight" w:cs="Nirmala UI Semilight"/>
          <w:color w:val="000000"/>
        </w:rPr>
        <w:t xml:space="preserve">In addition, the Tax Administration System Reform is designed to </w:t>
      </w:r>
      <w:proofErr w:type="gramStart"/>
      <w:r w:rsidRPr="00885AB8">
        <w:rPr>
          <w:rFonts w:ascii="Nirmala UI Semilight" w:eastAsia="Times New Roman" w:hAnsi="Nirmala UI Semilight" w:cs="Nirmala UI Semilight"/>
          <w:color w:val="000000"/>
        </w:rPr>
        <w:t>realize</w:t>
      </w:r>
      <w:proofErr w:type="gramEnd"/>
      <w:r w:rsidRPr="00885AB8">
        <w:rPr>
          <w:rFonts w:ascii="Nirmala UI Semilight" w:eastAsia="Times New Roman" w:hAnsi="Nirmala UI Semilight" w:cs="Nirmala UI Semilight"/>
          <w:color w:val="000000"/>
        </w:rPr>
        <w:t xml:space="preserve"> a strong, credible, accountable tax institution that has effective and efficient business processes; improve taxpayer compliance; build optimal performance between institutions; and increase state revenue. PSIAP is also used by DGT to improve the process of supervision and audit to be automated. With automation in business processes, it will have an impact on increasing taxpayer compliance due to fairness and equality in performing their tax obligations.</w:t>
      </w:r>
    </w:p>
    <w:p w14:paraId="03ACF158" w14:textId="77777777" w:rsidR="002B25BE" w:rsidRDefault="002B25BE"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41D0743F" w14:textId="735C4281" w:rsidR="002B25BE" w:rsidRDefault="00885AB8" w:rsidP="002B25BE">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Challenges of AI Implementation in Tax Administration System</w:t>
      </w:r>
    </w:p>
    <w:p w14:paraId="69167682" w14:textId="77777777" w:rsidR="00885AB8" w:rsidRPr="00885AB8" w:rsidRDefault="002B25BE" w:rsidP="00885AB8">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885AB8" w:rsidRPr="00885AB8">
        <w:rPr>
          <w:rFonts w:ascii="Nirmala UI Semilight" w:eastAsia="Times New Roman" w:hAnsi="Nirmala UI Semilight" w:cs="Nirmala UI Semilight"/>
          <w:color w:val="000000"/>
        </w:rPr>
        <w:t>Although PSIAP aims to simplify the tax administration process, taxpayers need to understand how to operate the application. Lack of understanding by taxpayers can hinder efficiency and effectiveness in reporting taxes. The massive increase in the number of taxpayers is the responsibility of the DGT to provide education on how to use PSIAP.</w:t>
      </w:r>
    </w:p>
    <w:p w14:paraId="1DCD455A" w14:textId="31F6FA98" w:rsidR="00885AB8" w:rsidRPr="00885AB8" w:rsidRDefault="00885AB8" w:rsidP="00885AB8">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885AB8">
        <w:rPr>
          <w:rFonts w:ascii="Nirmala UI Semilight" w:eastAsia="Times New Roman" w:hAnsi="Nirmala UI Semilight" w:cs="Nirmala UI Semilight"/>
          <w:color w:val="000000"/>
        </w:rPr>
        <w:t xml:space="preserve">One of the focuses of DGT's tax reform is the establishment of professional, competent, credible, and integrity human resources. However, this can certainly be a challenge for DGT because it requires specific skills and knowledge to manage and integrate AI technology. DGT tax officers also need to understand and interpret the analysis results provided by AI to make the right decision based on the analysis results. The limited number of human resources in the </w:t>
      </w:r>
      <w:r w:rsidRPr="00885AB8">
        <w:rPr>
          <w:rFonts w:ascii="Nirmala UI Semilight" w:eastAsia="Times New Roman" w:hAnsi="Nirmala UI Semilight" w:cs="Nirmala UI Semilight"/>
          <w:color w:val="000000"/>
        </w:rPr>
        <w:lastRenderedPageBreak/>
        <w:t>IT field makes it difficult for the government to develop technological innovations needed in the tax system, hindering the government's ability to face increasingly complex tax challenges.</w:t>
      </w:r>
    </w:p>
    <w:p w14:paraId="66EA454A" w14:textId="2DDA7CEA" w:rsidR="00885AB8" w:rsidRPr="00885AB8" w:rsidRDefault="00885AB8" w:rsidP="00885AB8">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885AB8">
        <w:rPr>
          <w:rFonts w:ascii="Nirmala UI Semilight" w:eastAsia="Times New Roman" w:hAnsi="Nirmala UI Semilight" w:cs="Nirmala UI Semilight"/>
          <w:color w:val="000000"/>
        </w:rPr>
        <w:t>The application of AI in the tax administration system could be a potential bias in decision-making, especially since AI algorithms often rely on historical data that may contain inherent biases. Therefore, decisions generated by AI need to be reviewed or analyzed by tax authorities to ensure their accuracy.</w:t>
      </w:r>
    </w:p>
    <w:p w14:paraId="44711F8B" w14:textId="77777777" w:rsidR="00885AB8" w:rsidRPr="00885AB8" w:rsidRDefault="00885AB8" w:rsidP="00885AB8">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885AB8">
        <w:rPr>
          <w:rFonts w:ascii="Nirmala UI Semilight" w:eastAsia="Times New Roman" w:hAnsi="Nirmala UI Semilight" w:cs="Nirmala UI Semilight"/>
          <w:color w:val="000000"/>
        </w:rPr>
        <w:t>The amount of confidential data related to tax reporting is one of the concerns in applying AI to the tax administration system so that DGT needs to improve and maintain security and privacy to avoid data leakage or privacy violations.</w:t>
      </w:r>
    </w:p>
    <w:p w14:paraId="3B7A6EEF" w14:textId="58541C9C" w:rsidR="002B25BE" w:rsidRDefault="00885AB8" w:rsidP="00885AB8">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885AB8">
        <w:rPr>
          <w:rFonts w:ascii="Nirmala UI Semilight" w:eastAsia="Times New Roman" w:hAnsi="Nirmala UI Semilight" w:cs="Nirmala UI Semilight"/>
          <w:color w:val="000000"/>
        </w:rPr>
        <w:t xml:space="preserve">In addition, procuring and maintaining a high-quality AI system requires a large financial investment. These costs can include the purchase of hardware, software, cloud services, as well as costs for the development and training of AI models, which </w:t>
      </w:r>
      <w:proofErr w:type="gramStart"/>
      <w:r w:rsidRPr="00885AB8">
        <w:rPr>
          <w:rFonts w:ascii="Nirmala UI Semilight" w:eastAsia="Times New Roman" w:hAnsi="Nirmala UI Semilight" w:cs="Nirmala UI Semilight"/>
          <w:color w:val="000000"/>
        </w:rPr>
        <w:t>requires</w:t>
      </w:r>
      <w:proofErr w:type="gramEnd"/>
      <w:r w:rsidRPr="00885AB8">
        <w:rPr>
          <w:rFonts w:ascii="Nirmala UI Semilight" w:eastAsia="Times New Roman" w:hAnsi="Nirmala UI Semilight" w:cs="Nirmala UI Semilight"/>
          <w:color w:val="000000"/>
        </w:rPr>
        <w:t xml:space="preserve"> consideration of ongoing operational costs, such as system updates, data management, and data security.</w:t>
      </w:r>
    </w:p>
    <w:p w14:paraId="5BA03FDD" w14:textId="77777777" w:rsidR="002B25BE" w:rsidRDefault="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18545F4D" w14:textId="2DDCF334" w:rsidR="002B25BE" w:rsidRDefault="00885AB8" w:rsidP="002B25BE">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CRM Business Process at the Directorate General of Taxes</w:t>
      </w:r>
    </w:p>
    <w:p w14:paraId="35A3E1D1" w14:textId="77777777" w:rsidR="00885AB8" w:rsidRPr="00885AB8" w:rsidRDefault="002B25BE" w:rsidP="00885AB8">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885AB8" w:rsidRPr="00885AB8">
        <w:rPr>
          <w:rFonts w:ascii="Nirmala UI Semilight" w:eastAsia="Times New Roman" w:hAnsi="Nirmala UI Semilight" w:cs="Nirmala UI Semilight"/>
          <w:color w:val="000000"/>
        </w:rPr>
        <w:t xml:space="preserve">To achieve the strategy of increasing taxpayer compliance and realizing revenue targets, DGT needs to implement compliance risk management (CRM). CRM is a system of monitoring taxpayer compliance through risk profiling that will assist taxpayers in carrying out their tax obligations more specifically according to conditions and needs to create voluntary taxpayer compliance. CRM is formed by relying on data that is processed </w:t>
      </w:r>
      <w:proofErr w:type="gramStart"/>
      <w:r w:rsidR="00885AB8" w:rsidRPr="00885AB8">
        <w:rPr>
          <w:rFonts w:ascii="Nirmala UI Semilight" w:eastAsia="Times New Roman" w:hAnsi="Nirmala UI Semilight" w:cs="Nirmala UI Semilight"/>
          <w:color w:val="000000"/>
        </w:rPr>
        <w:t>so as to</w:t>
      </w:r>
      <w:proofErr w:type="gramEnd"/>
      <w:r w:rsidR="00885AB8" w:rsidRPr="00885AB8">
        <w:rPr>
          <w:rFonts w:ascii="Nirmala UI Semilight" w:eastAsia="Times New Roman" w:hAnsi="Nirmala UI Semilight" w:cs="Nirmala UI Semilight"/>
          <w:color w:val="000000"/>
        </w:rPr>
        <w:t xml:space="preserve"> form a pattern of taxpayer compliance. In addition, CRM also produces recommendations for appropriate treatment for each taxpayer's risk level as prescriptive analytics. To determine the appropriate and fair treatment for taxpayers, the presence of CRM is an important key in formulating strategies to improve taxpayer compliance.</w:t>
      </w:r>
    </w:p>
    <w:p w14:paraId="6B1ACFF6" w14:textId="39701442" w:rsidR="00885AB8" w:rsidRPr="00885AB8" w:rsidRDefault="00885AB8" w:rsidP="00885AB8">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885AB8">
        <w:rPr>
          <w:rFonts w:ascii="Nirmala UI Semilight" w:eastAsia="Times New Roman" w:hAnsi="Nirmala UI Semilight" w:cs="Nirmala UI Semilight"/>
          <w:color w:val="000000"/>
        </w:rPr>
        <w:t xml:space="preserve">In 2012, the development of a complete risk-based taxpayer compliance (CRM) began to be developed. DGT has begun to recognize the concept of Compliance Risk Management as a large framework based on the OECD Guideline that comprehensively describes the risk management </w:t>
      </w:r>
      <w:proofErr w:type="gramStart"/>
      <w:r w:rsidRPr="00885AB8">
        <w:rPr>
          <w:rFonts w:ascii="Nirmala UI Semilight" w:eastAsia="Times New Roman" w:hAnsi="Nirmala UI Semilight" w:cs="Nirmala UI Semilight"/>
          <w:color w:val="000000"/>
        </w:rPr>
        <w:t>process as a whole, not</w:t>
      </w:r>
      <w:proofErr w:type="gramEnd"/>
      <w:r w:rsidRPr="00885AB8">
        <w:rPr>
          <w:rFonts w:ascii="Nirmala UI Semilight" w:eastAsia="Times New Roman" w:hAnsi="Nirmala UI Semilight" w:cs="Nirmala UI Semilight"/>
          <w:color w:val="000000"/>
        </w:rPr>
        <w:t xml:space="preserve"> only as a machine, but also as a business process guide. Along with the need to improve the efficiency of CRM implementation in all business processes, DGT has added CRM implementation in the function of tax services and education, improvement in the function of supervision, audit and collection in the form of transfer pricing CRM implementation with business intelligence support.</w:t>
      </w:r>
    </w:p>
    <w:p w14:paraId="637FE824" w14:textId="16C79A86" w:rsidR="002B25BE" w:rsidRDefault="00885AB8"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885AB8">
        <w:rPr>
          <w:rFonts w:ascii="Nirmala UI Semilight" w:eastAsia="Times New Roman" w:hAnsi="Nirmala UI Semilight" w:cs="Nirmala UI Semilight"/>
          <w:color w:val="000000"/>
        </w:rPr>
        <w:t>Based on the interview results, DGT implements CRM based on the OECD theory on the scope of CRM business processes. The following is an explanation of each stage in the scope of the CRM business process at the Directorate General of Taxes:</w:t>
      </w:r>
    </w:p>
    <w:p w14:paraId="78BC4636" w14:textId="040C13FD" w:rsidR="00885AB8" w:rsidRDefault="00885AB8" w:rsidP="00885AB8">
      <w:pPr>
        <w:pStyle w:val="ListParagraph"/>
        <w:numPr>
          <w:ilvl w:val="0"/>
          <w:numId w:val="40"/>
        </w:numPr>
        <w:tabs>
          <w:tab w:val="left" w:pos="284"/>
        </w:tabs>
        <w:spacing w:after="0" w:line="240" w:lineRule="auto"/>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Setting the Context</w:t>
      </w:r>
    </w:p>
    <w:p w14:paraId="7E05B425" w14:textId="77777777" w:rsidR="00885AB8" w:rsidRDefault="00885AB8" w:rsidP="00885AB8">
      <w:pPr>
        <w:tabs>
          <w:tab w:val="left" w:pos="284"/>
        </w:tabs>
        <w:spacing w:after="0" w:line="240" w:lineRule="auto"/>
        <w:ind w:left="36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885AB8">
        <w:rPr>
          <w:rFonts w:ascii="Nirmala UI Semilight" w:eastAsia="Times New Roman" w:hAnsi="Nirmala UI Semilight" w:cs="Nirmala UI Semilight"/>
          <w:color w:val="000000"/>
        </w:rPr>
        <w:t>If compliance risk management (CRM) is concerned with providing convenience and efficiency to limited human resources, then indicators representing compliance risk should be determined based on broader objectives. Therefore, clarifying the organization's objectives is essential in approaching compliance risk management. Before implementing CRM, the first step is to understand the internal and external context of the function to be developed. Practically speaking, understanding the context of applying CRM to tax administration allows the tax authority to assess the scope of influence - clarifying what can and cannot be affected.</w:t>
      </w:r>
    </w:p>
    <w:p w14:paraId="41B69983" w14:textId="3BDCF663" w:rsidR="00885AB8" w:rsidRPr="00885AB8" w:rsidRDefault="00885AB8" w:rsidP="00885AB8">
      <w:pPr>
        <w:tabs>
          <w:tab w:val="left" w:pos="284"/>
        </w:tabs>
        <w:spacing w:after="0" w:line="240" w:lineRule="auto"/>
        <w:ind w:left="36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885AB8">
        <w:rPr>
          <w:rFonts w:ascii="Nirmala UI Semilight" w:eastAsia="Times New Roman" w:hAnsi="Nirmala UI Semilight" w:cs="Nirmala UI Semilight"/>
          <w:color w:val="000000"/>
        </w:rPr>
        <w:t xml:space="preserve">Knowing what is affected can help the tax authority determine the risk variables and risk mitigation strategies. The variables determined must be relevant, such as not </w:t>
      </w:r>
      <w:r w:rsidRPr="00885AB8">
        <w:rPr>
          <w:rFonts w:ascii="Nirmala UI Semilight" w:eastAsia="Times New Roman" w:hAnsi="Nirmala UI Semilight" w:cs="Nirmala UI Semilight"/>
          <w:color w:val="000000"/>
        </w:rPr>
        <w:lastRenderedPageBreak/>
        <w:t>submitting a tax return, submitting a tax return with incorrect or incomplete contents, or intentionally attaching false information.</w:t>
      </w:r>
    </w:p>
    <w:p w14:paraId="14D57F2D" w14:textId="77777777" w:rsidR="00885AB8" w:rsidRDefault="00885AB8"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6B298F1B" w14:textId="08813D7C" w:rsidR="00885AB8" w:rsidRPr="00885AB8" w:rsidRDefault="00885AB8" w:rsidP="00885AB8">
      <w:pPr>
        <w:pStyle w:val="ListParagraph"/>
        <w:numPr>
          <w:ilvl w:val="0"/>
          <w:numId w:val="40"/>
        </w:numPr>
        <w:tabs>
          <w:tab w:val="left" w:pos="284"/>
        </w:tabs>
        <w:spacing w:after="0" w:line="240" w:lineRule="auto"/>
        <w:rPr>
          <w:rFonts w:ascii="Nirmala UI Semilight" w:eastAsia="Times New Roman" w:hAnsi="Nirmala UI Semilight" w:cs="Nirmala UI Semilight"/>
          <w:color w:val="000000"/>
        </w:rPr>
      </w:pPr>
      <w:r w:rsidRPr="00F91428">
        <w:rPr>
          <w:b/>
          <w:bCs/>
          <w:noProof/>
          <w:color w:val="000000"/>
        </w:rPr>
        <w:drawing>
          <wp:anchor distT="0" distB="0" distL="114300" distR="114300" simplePos="0" relativeHeight="251667456" behindDoc="0" locked="0" layoutInCell="1" allowOverlap="1" wp14:anchorId="65215AD8" wp14:editId="34C984DC">
            <wp:simplePos x="0" y="0"/>
            <wp:positionH relativeFrom="column">
              <wp:posOffset>2400300</wp:posOffset>
            </wp:positionH>
            <wp:positionV relativeFrom="paragraph">
              <wp:posOffset>365760</wp:posOffset>
            </wp:positionV>
            <wp:extent cx="1103923" cy="1079500"/>
            <wp:effectExtent l="0" t="0" r="1270" b="6350"/>
            <wp:wrapTopAndBottom/>
            <wp:docPr id="1" name="Picture 1" descr="A yellow square with different colored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square with different colored icon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103923" cy="1079500"/>
                    </a:xfrm>
                    <a:prstGeom prst="rect">
                      <a:avLst/>
                    </a:prstGeom>
                  </pic:spPr>
                </pic:pic>
              </a:graphicData>
            </a:graphic>
          </wp:anchor>
        </w:drawing>
      </w:r>
      <w:r>
        <w:rPr>
          <w:rFonts w:ascii="Nirmala UI Semilight" w:eastAsia="Times New Roman" w:hAnsi="Nirmala UI Semilight" w:cs="Nirmala UI Semilight"/>
          <w:color w:val="000000"/>
        </w:rPr>
        <w:t>Risk Identification</w:t>
      </w:r>
    </w:p>
    <w:p w14:paraId="7BB3A267" w14:textId="5E8E6504" w:rsidR="00885AB8" w:rsidRDefault="00885AB8" w:rsidP="00885AB8">
      <w:pPr>
        <w:tabs>
          <w:tab w:val="left" w:pos="284"/>
        </w:tabs>
        <w:spacing w:after="0" w:line="240" w:lineRule="auto"/>
        <w:ind w:left="36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Figure 1. CRM Integration</w:t>
      </w:r>
    </w:p>
    <w:p w14:paraId="475227AD" w14:textId="77777777" w:rsidR="00885AB8" w:rsidRDefault="00885AB8" w:rsidP="00885AB8">
      <w:pPr>
        <w:tabs>
          <w:tab w:val="left" w:pos="284"/>
        </w:tabs>
        <w:spacing w:after="0" w:line="240" w:lineRule="auto"/>
        <w:ind w:left="0" w:firstLine="0"/>
        <w:rPr>
          <w:rFonts w:ascii="Nirmala UI Semilight" w:eastAsia="Times New Roman" w:hAnsi="Nirmala UI Semilight" w:cs="Nirmala UI Semilight"/>
          <w:color w:val="000000"/>
        </w:rPr>
      </w:pPr>
    </w:p>
    <w:p w14:paraId="12E00048" w14:textId="356A3C82" w:rsidR="00885AB8" w:rsidRPr="00885AB8" w:rsidRDefault="00885AB8" w:rsidP="00885AB8">
      <w:pPr>
        <w:tabs>
          <w:tab w:val="left" w:pos="284"/>
        </w:tabs>
        <w:spacing w:after="0" w:line="240" w:lineRule="auto"/>
        <w:ind w:left="36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885AB8">
        <w:rPr>
          <w:rFonts w:ascii="Nirmala UI Semilight" w:eastAsia="Times New Roman" w:hAnsi="Nirmala UI Semilight" w:cs="Nirmala UI Semilight"/>
          <w:color w:val="000000"/>
        </w:rPr>
        <w:t>General risk is a risk that exists in every taxpayer. Based on the OECD, DGT determines four general risks that exist in taxpayers, namely registration, reporting, payment, and completeness and correctness of reporting. While specific risk is a risk that specifically occurs in certain taxpayers, namely law enforcement, transfer pricing, post audit, free trade zone, and tax consultants.</w:t>
      </w:r>
    </w:p>
    <w:p w14:paraId="5F92136B" w14:textId="36779456" w:rsidR="00885AB8" w:rsidRPr="00885AB8" w:rsidRDefault="00885AB8" w:rsidP="00885AB8">
      <w:pPr>
        <w:tabs>
          <w:tab w:val="left" w:pos="284"/>
        </w:tabs>
        <w:spacing w:after="0" w:line="240" w:lineRule="auto"/>
        <w:ind w:left="360" w:firstLine="0"/>
        <w:rPr>
          <w:rFonts w:ascii="Nirmala UI Semilight" w:eastAsia="Times New Roman" w:hAnsi="Nirmala UI Semilight" w:cs="Nirmala UI Semilight"/>
          <w:color w:val="000000"/>
        </w:rPr>
      </w:pPr>
      <w:r w:rsidRPr="00885AB8">
        <w:rPr>
          <w:rFonts w:ascii="Nirmala UI Semilight" w:eastAsia="Times New Roman" w:hAnsi="Nirmala UI Semilight" w:cs="Nirmala UI Semilight"/>
          <w:color w:val="000000"/>
        </w:rPr>
        <w:tab/>
        <w:t>In addition to IRE, CRM Integration also developed Cust-Mod (Customize Module) which helps authorities optimize CRM business processes in handling taxpayers with a focus on specified variables. The CRMs that are focused on are Extensification CRM, Collection CRM, and Objection CRM. As expressed by Mr. Akmal. "Then there is CRM customized mod, this is made separately because according to the developer the variables cannot be equated with GR and SR so it is necessary to make a separate module, for example, extensification means that the WP does not have an NPWP because the engine and algorithm are different from those who have an NPWP, the collection attribute is if an SKP (Tax Assessment Letter) and STP (Tax Collection Letter) have been issued, and objection is also if he has appeared SKP and wants to file an objection so because the focus of the engine is different, it makes its own module."</w:t>
      </w:r>
    </w:p>
    <w:p w14:paraId="5779F7B8" w14:textId="77777777" w:rsidR="00885AB8" w:rsidRDefault="00885AB8"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462D75B4" w14:textId="77777777" w:rsidR="00885AB8" w:rsidRDefault="00885AB8" w:rsidP="00885AB8">
      <w:pPr>
        <w:pStyle w:val="ListParagraph"/>
        <w:numPr>
          <w:ilvl w:val="0"/>
          <w:numId w:val="40"/>
        </w:numPr>
        <w:tabs>
          <w:tab w:val="left" w:pos="284"/>
        </w:tabs>
        <w:spacing w:after="0" w:line="240" w:lineRule="auto"/>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Risk Assessment and Prioritization</w:t>
      </w:r>
    </w:p>
    <w:p w14:paraId="6D16F7B0" w14:textId="77777777" w:rsidR="00885AB8" w:rsidRDefault="00885AB8" w:rsidP="00885AB8">
      <w:pPr>
        <w:tabs>
          <w:tab w:val="left" w:pos="284"/>
        </w:tabs>
        <w:spacing w:after="0" w:line="240" w:lineRule="auto"/>
        <w:ind w:left="36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885AB8">
        <w:rPr>
          <w:rFonts w:ascii="Nirmala UI Semilight" w:eastAsia="Times New Roman" w:hAnsi="Nirmala UI Semilight" w:cs="Nirmala UI Semilight"/>
          <w:color w:val="000000"/>
        </w:rPr>
        <w:t xml:space="preserve">At this stage, the tax authority conducts taxpayer risk mapping to prioritize taxpayer risks that have the most significant impact so that mitigation measures to taxpayers are appropriate and fair. A key part of this stage is the need for a good framework as it aims to separate major risks, which require specific actions, from those with </w:t>
      </w:r>
      <w:proofErr w:type="gramStart"/>
      <w:r w:rsidRPr="00885AB8">
        <w:rPr>
          <w:rFonts w:ascii="Nirmala UI Semilight" w:eastAsia="Times New Roman" w:hAnsi="Nirmala UI Semilight" w:cs="Nirmala UI Semilight"/>
          <w:color w:val="000000"/>
        </w:rPr>
        <w:t>lesser</w:t>
      </w:r>
      <w:proofErr w:type="gramEnd"/>
      <w:r w:rsidRPr="00885AB8">
        <w:rPr>
          <w:rFonts w:ascii="Nirmala UI Semilight" w:eastAsia="Times New Roman" w:hAnsi="Nirmala UI Semilight" w:cs="Nirmala UI Semilight"/>
          <w:color w:val="000000"/>
        </w:rPr>
        <w:t xml:space="preserve"> risks.</w:t>
      </w:r>
    </w:p>
    <w:p w14:paraId="615243F2" w14:textId="5E31975E" w:rsidR="00885AB8" w:rsidRDefault="00885AB8" w:rsidP="00273705">
      <w:pPr>
        <w:tabs>
          <w:tab w:val="left" w:pos="284"/>
        </w:tabs>
        <w:spacing w:after="0" w:line="240" w:lineRule="auto"/>
        <w:ind w:left="36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885AB8">
        <w:rPr>
          <w:rFonts w:ascii="Nirmala UI Semilight" w:eastAsia="Times New Roman" w:hAnsi="Nirmala UI Semilight" w:cs="Nirmala UI Semilight"/>
          <w:color w:val="000000"/>
        </w:rPr>
        <w:t>Extensification risk relates to reduced tax revenue due to non-compliance of taxpayers who have met the objective and subjective requirements in registering themselves to be given NPWP.</w:t>
      </w:r>
    </w:p>
    <w:p w14:paraId="1390F166" w14:textId="2F88D747" w:rsidR="00885AB8" w:rsidRPr="00885AB8" w:rsidRDefault="00273705" w:rsidP="00273705">
      <w:pPr>
        <w:tabs>
          <w:tab w:val="left" w:pos="284"/>
        </w:tabs>
        <w:spacing w:after="0" w:line="240" w:lineRule="auto"/>
        <w:ind w:left="360" w:firstLine="0"/>
        <w:jc w:val="center"/>
        <w:rPr>
          <w:rFonts w:ascii="Nirmala UI Semilight" w:eastAsia="Times New Roman" w:hAnsi="Nirmala UI Semilight" w:cs="Nirmala UI Semilight"/>
          <w:color w:val="000000"/>
          <w:lang w:val="en-ID"/>
        </w:rPr>
      </w:pPr>
      <w:r w:rsidRPr="00273705">
        <w:rPr>
          <w:rFonts w:ascii="Nirmala UI Semilight" w:eastAsia="Times New Roman" w:hAnsi="Nirmala UI Semilight" w:cs="Nirmala UI Semilight"/>
          <w:noProof/>
          <w:color w:val="000000"/>
          <w:lang w:val="en-ID"/>
        </w:rPr>
        <w:lastRenderedPageBreak/>
        <w:drawing>
          <wp:inline distT="0" distB="0" distL="0" distR="0" wp14:anchorId="58238AD4" wp14:editId="5227DC0C">
            <wp:extent cx="4848225" cy="2514600"/>
            <wp:effectExtent l="0" t="0" r="9525" b="0"/>
            <wp:docPr id="2023768442" name="Picture 9" descr="A chart of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768442" name="Picture 9" descr="A chart of different color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8225" cy="2514600"/>
                    </a:xfrm>
                    <a:prstGeom prst="rect">
                      <a:avLst/>
                    </a:prstGeom>
                    <a:noFill/>
                    <a:ln>
                      <a:noFill/>
                    </a:ln>
                  </pic:spPr>
                </pic:pic>
              </a:graphicData>
            </a:graphic>
          </wp:inline>
        </w:drawing>
      </w:r>
    </w:p>
    <w:p w14:paraId="6AD82534" w14:textId="32987DF6" w:rsidR="00885AB8" w:rsidRDefault="00885AB8" w:rsidP="00885AB8">
      <w:pPr>
        <w:tabs>
          <w:tab w:val="left" w:pos="284"/>
        </w:tabs>
        <w:spacing w:after="0" w:line="240" w:lineRule="auto"/>
        <w:ind w:left="36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Figure 2. Risk Map Function</w:t>
      </w:r>
    </w:p>
    <w:p w14:paraId="15738855" w14:textId="77777777" w:rsidR="00885AB8" w:rsidRPr="00885AB8" w:rsidRDefault="00885AB8" w:rsidP="00885AB8">
      <w:pPr>
        <w:tabs>
          <w:tab w:val="left" w:pos="284"/>
        </w:tabs>
        <w:spacing w:after="0" w:line="240" w:lineRule="auto"/>
        <w:ind w:left="360" w:firstLine="0"/>
        <w:rPr>
          <w:rFonts w:ascii="Nirmala UI Semilight" w:eastAsia="Times New Roman" w:hAnsi="Nirmala UI Semilight" w:cs="Nirmala UI Semilight"/>
          <w:color w:val="000000"/>
        </w:rPr>
      </w:pPr>
    </w:p>
    <w:p w14:paraId="22C568DA" w14:textId="2FB78860" w:rsidR="00885AB8" w:rsidRPr="00885AB8" w:rsidRDefault="00885AB8" w:rsidP="00273705">
      <w:pPr>
        <w:pStyle w:val="ListParagraph"/>
        <w:tabs>
          <w:tab w:val="left" w:pos="284"/>
        </w:tabs>
        <w:spacing w:after="120" w:line="240" w:lineRule="auto"/>
        <w:ind w:left="284" w:firstLine="0"/>
        <w:rPr>
          <w:rFonts w:ascii="Nirmala UI Semilight" w:eastAsia="Times New Roman" w:hAnsi="Nirmala UI Semilight" w:cs="Nirmala UI Semilight"/>
          <w:color w:val="000000"/>
        </w:rPr>
      </w:pPr>
      <w:r w:rsidRPr="00885AB8">
        <w:rPr>
          <w:rFonts w:ascii="Nirmala UI Semilight" w:eastAsia="Times New Roman" w:hAnsi="Nirmala UI Semilight" w:cs="Nirmala UI Semilight"/>
          <w:color w:val="000000"/>
        </w:rPr>
        <w:t>CRM in Extensification uses the X and Y formulas in the form of:</w:t>
      </w:r>
    </w:p>
    <w:p w14:paraId="13001881" w14:textId="77777777" w:rsidR="00273705" w:rsidRDefault="00885AB8" w:rsidP="00273705">
      <w:pPr>
        <w:pStyle w:val="ListParagraph"/>
        <w:tabs>
          <w:tab w:val="left" w:pos="284"/>
        </w:tabs>
        <w:spacing w:after="120" w:line="240" w:lineRule="auto"/>
        <w:ind w:left="284" w:firstLine="0"/>
        <w:rPr>
          <w:rFonts w:ascii="Nirmala UI Semilight" w:eastAsia="Times New Roman" w:hAnsi="Nirmala UI Semilight" w:cs="Nirmala UI Semilight"/>
          <w:color w:val="000000"/>
        </w:rPr>
      </w:pPr>
      <w:r w:rsidRPr="00885AB8">
        <w:rPr>
          <w:rFonts w:ascii="Nirmala UI Semilight" w:eastAsia="Times New Roman" w:hAnsi="Nirmala UI Semilight" w:cs="Nirmala UI Semilight"/>
          <w:color w:val="000000"/>
        </w:rPr>
        <w:t xml:space="preserve">X axis: the level of non-compliance of taxpayers who have met the subjective and objective requirements but do not register themselves. </w:t>
      </w:r>
    </w:p>
    <w:p w14:paraId="61D7292A" w14:textId="77777777" w:rsidR="00273705" w:rsidRDefault="00885AB8" w:rsidP="00273705">
      <w:pPr>
        <w:pStyle w:val="ListParagraph"/>
        <w:numPr>
          <w:ilvl w:val="0"/>
          <w:numId w:val="41"/>
        </w:numPr>
        <w:tabs>
          <w:tab w:val="left" w:pos="284"/>
        </w:tabs>
        <w:spacing w:after="120" w:line="240" w:lineRule="auto"/>
        <w:rPr>
          <w:rFonts w:ascii="Nirmala UI Semilight" w:eastAsia="Times New Roman" w:hAnsi="Nirmala UI Semilight" w:cs="Nirmala UI Semilight"/>
          <w:color w:val="000000"/>
        </w:rPr>
      </w:pPr>
      <w:r w:rsidRPr="00273705">
        <w:rPr>
          <w:rFonts w:ascii="Nirmala UI Semilight" w:eastAsia="Times New Roman" w:hAnsi="Nirmala UI Semilight" w:cs="Nirmala UI Semilight"/>
          <w:color w:val="000000"/>
        </w:rPr>
        <w:t>Y-axis: the consequence of revenue loss from taxpayers who have met the subjective and objective requirements but do not register.</w:t>
      </w:r>
    </w:p>
    <w:p w14:paraId="6C9E26BE" w14:textId="11E38E4F" w:rsidR="00885AB8" w:rsidRPr="00273705" w:rsidRDefault="00885AB8" w:rsidP="00273705">
      <w:pPr>
        <w:pStyle w:val="ListParagraph"/>
        <w:numPr>
          <w:ilvl w:val="0"/>
          <w:numId w:val="41"/>
        </w:numPr>
        <w:tabs>
          <w:tab w:val="left" w:pos="284"/>
        </w:tabs>
        <w:spacing w:after="120" w:line="240" w:lineRule="auto"/>
        <w:rPr>
          <w:rFonts w:ascii="Nirmala UI Semilight" w:eastAsia="Times New Roman" w:hAnsi="Nirmala UI Semilight" w:cs="Nirmala UI Semilight"/>
          <w:color w:val="000000"/>
        </w:rPr>
      </w:pPr>
      <w:r w:rsidRPr="00273705">
        <w:rPr>
          <w:rFonts w:ascii="Nirmala UI Semilight" w:eastAsia="Times New Roman" w:hAnsi="Nirmala UI Semilight" w:cs="Nirmala UI Semilight"/>
          <w:color w:val="000000"/>
        </w:rPr>
        <w:t>Service Risk is related to reduced tax revenue due to taxpayer non-compliance in registering, timely tax reporting, payment, and correct reporting.</w:t>
      </w:r>
    </w:p>
    <w:p w14:paraId="76C4D73E" w14:textId="77777777" w:rsidR="00885AB8" w:rsidRDefault="00885AB8"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398EB00B" w14:textId="5EA44E4B" w:rsidR="00885AB8" w:rsidRDefault="00273705" w:rsidP="00273705">
      <w:pPr>
        <w:pStyle w:val="ListParagraph"/>
        <w:tabs>
          <w:tab w:val="left" w:pos="284"/>
        </w:tabs>
        <w:spacing w:after="120" w:line="240" w:lineRule="auto"/>
        <w:ind w:left="0" w:firstLine="0"/>
        <w:jc w:val="center"/>
        <w:rPr>
          <w:rFonts w:ascii="Nirmala UI Semilight" w:eastAsia="Times New Roman" w:hAnsi="Nirmala UI Semilight" w:cs="Nirmala UI Semilight"/>
          <w:color w:val="000000"/>
        </w:rPr>
      </w:pPr>
      <w:r w:rsidRPr="00273705">
        <w:rPr>
          <w:rFonts w:ascii="Nirmala UI Semilight" w:eastAsia="Times New Roman" w:hAnsi="Nirmala UI Semilight" w:cs="Nirmala UI Semilight"/>
          <w:noProof/>
          <w:color w:val="000000"/>
          <w:lang w:val="en-ID"/>
        </w:rPr>
        <w:drawing>
          <wp:inline distT="0" distB="0" distL="0" distR="0" wp14:anchorId="605C788C" wp14:editId="568982E0">
            <wp:extent cx="4848225" cy="2514600"/>
            <wp:effectExtent l="0" t="0" r="9525" b="0"/>
            <wp:docPr id="1053388325" name="Picture 9" descr="A chart of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768442" name="Picture 9" descr="A chart of different color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8225" cy="2514600"/>
                    </a:xfrm>
                    <a:prstGeom prst="rect">
                      <a:avLst/>
                    </a:prstGeom>
                    <a:noFill/>
                    <a:ln>
                      <a:noFill/>
                    </a:ln>
                  </pic:spPr>
                </pic:pic>
              </a:graphicData>
            </a:graphic>
          </wp:inline>
        </w:drawing>
      </w:r>
    </w:p>
    <w:p w14:paraId="79550D3C" w14:textId="44CFA47A" w:rsidR="00273705" w:rsidRDefault="00273705" w:rsidP="00273705">
      <w:pPr>
        <w:tabs>
          <w:tab w:val="left" w:pos="284"/>
        </w:tabs>
        <w:spacing w:after="0" w:line="240" w:lineRule="auto"/>
        <w:ind w:left="36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Figure 3. Service Function Risk Map</w:t>
      </w:r>
    </w:p>
    <w:p w14:paraId="69D93BCB" w14:textId="77777777" w:rsidR="00273705" w:rsidRDefault="00273705"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29AD36E3" w14:textId="77777777" w:rsidR="00273705" w:rsidRDefault="00273705" w:rsidP="00273705">
      <w:pPr>
        <w:pStyle w:val="ListParagraph"/>
        <w:numPr>
          <w:ilvl w:val="0"/>
          <w:numId w:val="42"/>
        </w:numPr>
        <w:tabs>
          <w:tab w:val="left" w:pos="284"/>
        </w:tabs>
        <w:spacing w:after="120" w:line="240" w:lineRule="auto"/>
        <w:rPr>
          <w:rFonts w:ascii="Nirmala UI Semilight" w:eastAsia="Times New Roman" w:hAnsi="Nirmala UI Semilight" w:cs="Nirmala UI Semilight"/>
          <w:color w:val="000000"/>
        </w:rPr>
      </w:pPr>
      <w:r w:rsidRPr="00273705">
        <w:rPr>
          <w:rFonts w:ascii="Nirmala UI Semilight" w:eastAsia="Times New Roman" w:hAnsi="Nirmala UI Semilight" w:cs="Nirmala UI Semilight"/>
          <w:color w:val="000000"/>
        </w:rPr>
        <w:t>X-axis: the level of probability of non-fulfillment of tax obligations in terms of registering, reporting on time, paying, and reporting correctly</w:t>
      </w:r>
      <w:r>
        <w:rPr>
          <w:rFonts w:ascii="Nirmala UI Semilight" w:eastAsia="Times New Roman" w:hAnsi="Nirmala UI Semilight" w:cs="Nirmala UI Semilight"/>
          <w:color w:val="000000"/>
        </w:rPr>
        <w:t>.</w:t>
      </w:r>
    </w:p>
    <w:p w14:paraId="35933623" w14:textId="77777777" w:rsidR="00273705" w:rsidRDefault="00273705" w:rsidP="00273705">
      <w:pPr>
        <w:pStyle w:val="ListParagraph"/>
        <w:numPr>
          <w:ilvl w:val="0"/>
          <w:numId w:val="42"/>
        </w:numPr>
        <w:tabs>
          <w:tab w:val="left" w:pos="284"/>
        </w:tabs>
        <w:spacing w:after="120" w:line="240" w:lineRule="auto"/>
        <w:rPr>
          <w:rFonts w:ascii="Nirmala UI Semilight" w:eastAsia="Times New Roman" w:hAnsi="Nirmala UI Semilight" w:cs="Nirmala UI Semilight"/>
          <w:color w:val="000000"/>
        </w:rPr>
      </w:pPr>
      <w:r w:rsidRPr="00273705">
        <w:rPr>
          <w:rFonts w:ascii="Nirmala UI Semilight" w:eastAsia="Times New Roman" w:hAnsi="Nirmala UI Semilight" w:cs="Nirmala UI Semilight"/>
          <w:color w:val="000000"/>
        </w:rPr>
        <w:t>Y-axis: the consequences of not fulfilling tax obligations in terms of registering, reporting on time, paying, and reporting correctly.</w:t>
      </w:r>
    </w:p>
    <w:p w14:paraId="7AE3B7EC" w14:textId="77777777" w:rsidR="00273705" w:rsidRDefault="00273705" w:rsidP="00273705">
      <w:pPr>
        <w:pStyle w:val="ListParagraph"/>
        <w:tabs>
          <w:tab w:val="left" w:pos="284"/>
        </w:tabs>
        <w:spacing w:after="120" w:line="240" w:lineRule="auto"/>
        <w:ind w:firstLine="0"/>
        <w:rPr>
          <w:rFonts w:ascii="Nirmala UI Semilight" w:eastAsia="Times New Roman" w:hAnsi="Nirmala UI Semilight" w:cs="Nirmala UI Semilight"/>
          <w:color w:val="000000"/>
        </w:rPr>
      </w:pPr>
    </w:p>
    <w:p w14:paraId="73DCD3EC" w14:textId="6702FEE0" w:rsidR="00273705" w:rsidRPr="00273705" w:rsidRDefault="00273705" w:rsidP="00244C1E">
      <w:pPr>
        <w:pStyle w:val="ListParagraph"/>
        <w:spacing w:after="120" w:line="240" w:lineRule="auto"/>
        <w:ind w:left="284"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lastRenderedPageBreak/>
        <w:tab/>
      </w:r>
      <w:r w:rsidRPr="00273705">
        <w:rPr>
          <w:rFonts w:ascii="Nirmala UI Semilight" w:eastAsia="Times New Roman" w:hAnsi="Nirmala UI Semilight" w:cs="Nirmala UI Semilight"/>
          <w:color w:val="000000"/>
        </w:rPr>
        <w:t>Tax Education Risk relates to any possibility or uncertainty that has an impact on taxpayer compliance related to the implementation of their tax rights and obligations aimed at increasing knowledge and skills and changing taxpayer behavior.</w:t>
      </w:r>
    </w:p>
    <w:p w14:paraId="0BE6D028" w14:textId="77777777" w:rsidR="00273705" w:rsidRDefault="00273705"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2A5FF21F" w14:textId="186F482A" w:rsidR="00273705" w:rsidRDefault="00273705" w:rsidP="00273705">
      <w:pPr>
        <w:pStyle w:val="ListParagraph"/>
        <w:tabs>
          <w:tab w:val="left" w:pos="284"/>
        </w:tabs>
        <w:spacing w:after="120" w:line="240" w:lineRule="auto"/>
        <w:ind w:left="0" w:firstLine="0"/>
        <w:jc w:val="center"/>
        <w:rPr>
          <w:rFonts w:ascii="Nirmala UI Semilight" w:eastAsia="Times New Roman" w:hAnsi="Nirmala UI Semilight" w:cs="Nirmala UI Semilight"/>
          <w:color w:val="000000"/>
        </w:rPr>
      </w:pPr>
      <w:r w:rsidRPr="00273705">
        <w:rPr>
          <w:rFonts w:ascii="Nirmala UI Semilight" w:eastAsia="Times New Roman" w:hAnsi="Nirmala UI Semilight" w:cs="Nirmala UI Semilight"/>
          <w:noProof/>
          <w:color w:val="000000"/>
          <w:lang w:val="en-ID"/>
        </w:rPr>
        <w:drawing>
          <wp:inline distT="0" distB="0" distL="0" distR="0" wp14:anchorId="003026D0" wp14:editId="524DABD7">
            <wp:extent cx="4848225" cy="2514600"/>
            <wp:effectExtent l="0" t="0" r="9525" b="0"/>
            <wp:docPr id="731735462" name="Picture 9" descr="A chart of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768442" name="Picture 9" descr="A chart of different color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8225" cy="2514600"/>
                    </a:xfrm>
                    <a:prstGeom prst="rect">
                      <a:avLst/>
                    </a:prstGeom>
                    <a:noFill/>
                    <a:ln>
                      <a:noFill/>
                    </a:ln>
                  </pic:spPr>
                </pic:pic>
              </a:graphicData>
            </a:graphic>
          </wp:inline>
        </w:drawing>
      </w:r>
    </w:p>
    <w:p w14:paraId="23297C16" w14:textId="4AB659AA" w:rsidR="00273705" w:rsidRDefault="00273705" w:rsidP="00273705">
      <w:pPr>
        <w:tabs>
          <w:tab w:val="left" w:pos="284"/>
        </w:tabs>
        <w:spacing w:after="0" w:line="240" w:lineRule="auto"/>
        <w:ind w:left="36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 xml:space="preserve">Figure </w:t>
      </w:r>
      <w:r w:rsidR="00244C1E">
        <w:rPr>
          <w:rFonts w:ascii="Nirmala UI Semilight" w:eastAsia="Times New Roman" w:hAnsi="Nirmala UI Semilight" w:cs="Nirmala UI Semilight"/>
          <w:color w:val="000000"/>
        </w:rPr>
        <w:t>4</w:t>
      </w:r>
      <w:r>
        <w:rPr>
          <w:rFonts w:ascii="Nirmala UI Semilight" w:eastAsia="Times New Roman" w:hAnsi="Nirmala UI Semilight" w:cs="Nirmala UI Semilight"/>
          <w:color w:val="000000"/>
        </w:rPr>
        <w:t>. Risk Map of Tax Education Function</w:t>
      </w:r>
    </w:p>
    <w:p w14:paraId="2D9ED1A9" w14:textId="77777777" w:rsidR="00273705" w:rsidRDefault="00273705" w:rsidP="00273705">
      <w:pPr>
        <w:pStyle w:val="ListParagraph"/>
        <w:tabs>
          <w:tab w:val="left" w:pos="284"/>
        </w:tabs>
        <w:spacing w:after="120" w:line="240" w:lineRule="auto"/>
        <w:ind w:left="0" w:firstLine="0"/>
        <w:jc w:val="center"/>
        <w:rPr>
          <w:rFonts w:ascii="Nirmala UI Semilight" w:eastAsia="Times New Roman" w:hAnsi="Nirmala UI Semilight" w:cs="Nirmala UI Semilight"/>
          <w:color w:val="000000"/>
        </w:rPr>
      </w:pPr>
    </w:p>
    <w:p w14:paraId="343ACD90" w14:textId="77777777" w:rsidR="00273705" w:rsidRDefault="00273705" w:rsidP="00244C1E">
      <w:pPr>
        <w:pStyle w:val="ListParagraph"/>
        <w:numPr>
          <w:ilvl w:val="0"/>
          <w:numId w:val="44"/>
        </w:numPr>
        <w:tabs>
          <w:tab w:val="left" w:pos="284"/>
        </w:tabs>
        <w:spacing w:after="0" w:line="240" w:lineRule="auto"/>
        <w:ind w:left="709"/>
        <w:rPr>
          <w:rFonts w:ascii="Nirmala UI Semilight" w:eastAsia="Times New Roman" w:hAnsi="Nirmala UI Semilight" w:cs="Nirmala UI Semilight"/>
          <w:color w:val="000000"/>
        </w:rPr>
      </w:pPr>
      <w:r w:rsidRPr="00273705">
        <w:rPr>
          <w:rFonts w:ascii="Nirmala UI Semilight" w:eastAsia="Times New Roman" w:hAnsi="Nirmala UI Semilight" w:cs="Nirmala UI Semilight"/>
          <w:color w:val="000000"/>
        </w:rPr>
        <w:t>X axis: the level of possibility of not fulfilling tax obligations in terms of reporting on time, paying, and reporting correctly</w:t>
      </w:r>
      <w:r>
        <w:rPr>
          <w:rFonts w:ascii="Nirmala UI Semilight" w:eastAsia="Times New Roman" w:hAnsi="Nirmala UI Semilight" w:cs="Nirmala UI Semilight"/>
          <w:color w:val="000000"/>
        </w:rPr>
        <w:t>.</w:t>
      </w:r>
    </w:p>
    <w:p w14:paraId="3936B6C0" w14:textId="77777777" w:rsidR="00244C1E" w:rsidRDefault="00273705" w:rsidP="00244C1E">
      <w:pPr>
        <w:pStyle w:val="ListParagraph"/>
        <w:numPr>
          <w:ilvl w:val="0"/>
          <w:numId w:val="43"/>
        </w:numPr>
        <w:tabs>
          <w:tab w:val="left" w:pos="284"/>
        </w:tabs>
        <w:spacing w:after="0" w:line="240" w:lineRule="auto"/>
        <w:ind w:left="709"/>
        <w:rPr>
          <w:rFonts w:ascii="Nirmala UI Semilight" w:eastAsia="Times New Roman" w:hAnsi="Nirmala UI Semilight" w:cs="Nirmala UI Semilight"/>
          <w:color w:val="000000"/>
        </w:rPr>
      </w:pPr>
      <w:r w:rsidRPr="00273705">
        <w:rPr>
          <w:rFonts w:ascii="Nirmala UI Semilight" w:eastAsia="Times New Roman" w:hAnsi="Nirmala UI Semilight" w:cs="Nirmala UI Semilight"/>
          <w:color w:val="000000"/>
        </w:rPr>
        <w:t>Y-axis: the consequences of not fulfilling tax obligations in terms of reporting on time, paying, and reporting correctly.</w:t>
      </w:r>
    </w:p>
    <w:p w14:paraId="3D8045F2" w14:textId="77777777" w:rsidR="00244C1E" w:rsidRDefault="00244C1E" w:rsidP="00244C1E">
      <w:pPr>
        <w:pStyle w:val="ListParagraph"/>
        <w:tabs>
          <w:tab w:val="left" w:pos="284"/>
        </w:tabs>
        <w:spacing w:after="0" w:line="240" w:lineRule="auto"/>
        <w:ind w:left="709" w:firstLine="0"/>
        <w:rPr>
          <w:rFonts w:ascii="Nirmala UI Semilight" w:eastAsia="Times New Roman" w:hAnsi="Nirmala UI Semilight" w:cs="Nirmala UI Semilight"/>
          <w:color w:val="000000"/>
        </w:rPr>
      </w:pPr>
    </w:p>
    <w:p w14:paraId="1DD58932" w14:textId="0E99B7CE" w:rsidR="00273705" w:rsidRPr="00244C1E" w:rsidRDefault="00244C1E" w:rsidP="00244C1E">
      <w:pPr>
        <w:tabs>
          <w:tab w:val="left" w:pos="284"/>
        </w:tabs>
        <w:spacing w:after="0" w:line="240" w:lineRule="auto"/>
        <w:ind w:left="284"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244C1E">
        <w:rPr>
          <w:rFonts w:ascii="Nirmala UI Semilight" w:eastAsia="Times New Roman" w:hAnsi="Nirmala UI Semilight" w:cs="Nirmala UI Semilight"/>
          <w:color w:val="000000"/>
        </w:rPr>
        <w:t>Audit and Supervision Risk relates to any possibility or uncertainty that has an impact on reduced tax revenue due to taxpayer non-compliance in reporting their tax obligations on time, paying taxes on time, and reporting their taxes completely and correctly.</w:t>
      </w:r>
    </w:p>
    <w:p w14:paraId="3F2F0DF8" w14:textId="77777777" w:rsidR="00273705" w:rsidRDefault="00273705"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72CB4057" w14:textId="3C25B344" w:rsidR="00273705" w:rsidRDefault="00244C1E" w:rsidP="00244C1E">
      <w:pPr>
        <w:pStyle w:val="ListParagraph"/>
        <w:tabs>
          <w:tab w:val="left" w:pos="284"/>
        </w:tabs>
        <w:spacing w:after="120" w:line="240" w:lineRule="auto"/>
        <w:ind w:left="0" w:firstLine="0"/>
        <w:jc w:val="center"/>
        <w:rPr>
          <w:rFonts w:ascii="Nirmala UI Semilight" w:eastAsia="Times New Roman" w:hAnsi="Nirmala UI Semilight" w:cs="Nirmala UI Semilight"/>
          <w:color w:val="000000"/>
        </w:rPr>
      </w:pPr>
      <w:r w:rsidRPr="00273705">
        <w:rPr>
          <w:rFonts w:ascii="Nirmala UI Semilight" w:eastAsia="Times New Roman" w:hAnsi="Nirmala UI Semilight" w:cs="Nirmala UI Semilight"/>
          <w:noProof/>
          <w:color w:val="000000"/>
          <w:lang w:val="en-ID"/>
        </w:rPr>
        <w:drawing>
          <wp:inline distT="0" distB="0" distL="0" distR="0" wp14:anchorId="0D5B0927" wp14:editId="787AE1A6">
            <wp:extent cx="4848225" cy="2514600"/>
            <wp:effectExtent l="0" t="0" r="9525" b="0"/>
            <wp:docPr id="916394987" name="Picture 9" descr="A chart of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768442" name="Picture 9" descr="A chart of different color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8225" cy="2514600"/>
                    </a:xfrm>
                    <a:prstGeom prst="rect">
                      <a:avLst/>
                    </a:prstGeom>
                    <a:noFill/>
                    <a:ln>
                      <a:noFill/>
                    </a:ln>
                  </pic:spPr>
                </pic:pic>
              </a:graphicData>
            </a:graphic>
          </wp:inline>
        </w:drawing>
      </w:r>
    </w:p>
    <w:p w14:paraId="77EC5F94" w14:textId="59A45758" w:rsidR="00244C1E" w:rsidRDefault="00244C1E" w:rsidP="00244C1E">
      <w:pPr>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Audit Function Risk Map</w:t>
      </w:r>
    </w:p>
    <w:p w14:paraId="3FB8685D" w14:textId="77777777" w:rsidR="00273705" w:rsidRDefault="00273705"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1199DDD2" w14:textId="6D0C49F1" w:rsidR="00244C1E" w:rsidRPr="00244C1E" w:rsidRDefault="00244C1E" w:rsidP="00244C1E">
      <w:pPr>
        <w:pStyle w:val="ListParagraph"/>
        <w:numPr>
          <w:ilvl w:val="0"/>
          <w:numId w:val="43"/>
        </w:numPr>
        <w:tabs>
          <w:tab w:val="left" w:pos="284"/>
        </w:tabs>
        <w:spacing w:after="120" w:line="240" w:lineRule="auto"/>
        <w:rPr>
          <w:rFonts w:ascii="Nirmala UI Semilight" w:eastAsia="Times New Roman" w:hAnsi="Nirmala UI Semilight" w:cs="Nirmala UI Semilight"/>
          <w:color w:val="000000"/>
        </w:rPr>
      </w:pPr>
      <w:r w:rsidRPr="00244C1E">
        <w:rPr>
          <w:rFonts w:ascii="Nirmala UI Semilight" w:eastAsia="Times New Roman" w:hAnsi="Nirmala UI Semilight" w:cs="Nirmala UI Semilight"/>
          <w:color w:val="000000"/>
        </w:rPr>
        <w:lastRenderedPageBreak/>
        <w:t>X-axis: the level of possibility of non-fulfillment of tax obligations in terms of timely filing, timely payment, and complete and correct reporting</w:t>
      </w:r>
      <w:r>
        <w:rPr>
          <w:rFonts w:ascii="Nirmala UI Semilight" w:eastAsia="Times New Roman" w:hAnsi="Nirmala UI Semilight" w:cs="Nirmala UI Semilight"/>
          <w:color w:val="000000"/>
        </w:rPr>
        <w:t>.</w:t>
      </w:r>
    </w:p>
    <w:p w14:paraId="64C29801" w14:textId="40B57ECC" w:rsidR="00244C1E" w:rsidRDefault="00244C1E" w:rsidP="00244C1E">
      <w:pPr>
        <w:pStyle w:val="ListParagraph"/>
        <w:numPr>
          <w:ilvl w:val="0"/>
          <w:numId w:val="43"/>
        </w:numPr>
        <w:tabs>
          <w:tab w:val="left" w:pos="284"/>
        </w:tabs>
        <w:spacing w:after="120" w:line="240" w:lineRule="auto"/>
        <w:rPr>
          <w:rFonts w:ascii="Nirmala UI Semilight" w:eastAsia="Times New Roman" w:hAnsi="Nirmala UI Semilight" w:cs="Nirmala UI Semilight"/>
          <w:color w:val="000000"/>
        </w:rPr>
      </w:pPr>
      <w:r w:rsidRPr="00244C1E">
        <w:rPr>
          <w:rFonts w:ascii="Nirmala UI Semilight" w:eastAsia="Times New Roman" w:hAnsi="Nirmala UI Semilight" w:cs="Nirmala UI Semilight"/>
          <w:color w:val="000000"/>
        </w:rPr>
        <w:t>Y-axis: the consequences of not fulfilling tax obligations correctly.</w:t>
      </w:r>
    </w:p>
    <w:p w14:paraId="0DB79E95" w14:textId="77777777" w:rsidR="00244C1E" w:rsidRDefault="00244C1E"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2E81384D" w14:textId="3CC1DE82" w:rsidR="00244C1E" w:rsidRDefault="00244C1E" w:rsidP="00244C1E">
      <w:pPr>
        <w:pStyle w:val="ListParagraph"/>
        <w:tabs>
          <w:tab w:val="left" w:pos="284"/>
        </w:tabs>
        <w:spacing w:after="120" w:line="240" w:lineRule="auto"/>
        <w:ind w:left="284"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244C1E">
        <w:rPr>
          <w:rFonts w:ascii="Nirmala UI Semilight" w:eastAsia="Times New Roman" w:hAnsi="Nirmala UI Semilight" w:cs="Nirmala UI Semilight"/>
          <w:color w:val="000000"/>
        </w:rPr>
        <w:t>Transfer Pricing risk relates to any possibility or uncertainty that has an impact on the reduction of tax revenue from taxpayers who have transactions involving special relationships. CRM Transfer Pricing produces a map that illustrates the taxpayer's compliance in applying the arm's length principle on transactions affected by special relationships and other international tax transactions on transactions affected by special relationships and other international tax transactions.</w:t>
      </w:r>
    </w:p>
    <w:p w14:paraId="4413C5E6" w14:textId="77777777" w:rsidR="00244C1E" w:rsidRDefault="00244C1E"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5F263716" w14:textId="1027371C" w:rsidR="00244C1E" w:rsidRDefault="00244C1E" w:rsidP="00244C1E">
      <w:pPr>
        <w:pStyle w:val="ListParagraph"/>
        <w:tabs>
          <w:tab w:val="left" w:pos="284"/>
        </w:tabs>
        <w:spacing w:after="120" w:line="240" w:lineRule="auto"/>
        <w:ind w:left="0" w:firstLine="0"/>
        <w:jc w:val="center"/>
        <w:rPr>
          <w:rFonts w:ascii="Nirmala UI Semilight" w:eastAsia="Times New Roman" w:hAnsi="Nirmala UI Semilight" w:cs="Nirmala UI Semilight"/>
          <w:color w:val="000000"/>
        </w:rPr>
      </w:pPr>
      <w:r w:rsidRPr="00273705">
        <w:rPr>
          <w:rFonts w:ascii="Nirmala UI Semilight" w:eastAsia="Times New Roman" w:hAnsi="Nirmala UI Semilight" w:cs="Nirmala UI Semilight"/>
          <w:noProof/>
          <w:color w:val="000000"/>
          <w:lang w:val="en-ID"/>
        </w:rPr>
        <w:drawing>
          <wp:inline distT="0" distB="0" distL="0" distR="0" wp14:anchorId="4B79EFDC" wp14:editId="1FF397BA">
            <wp:extent cx="4848225" cy="2514600"/>
            <wp:effectExtent l="0" t="0" r="9525" b="0"/>
            <wp:docPr id="518282204" name="Picture 9" descr="A chart of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768442" name="Picture 9" descr="A chart of different color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8225" cy="2514600"/>
                    </a:xfrm>
                    <a:prstGeom prst="rect">
                      <a:avLst/>
                    </a:prstGeom>
                    <a:noFill/>
                    <a:ln>
                      <a:noFill/>
                    </a:ln>
                  </pic:spPr>
                </pic:pic>
              </a:graphicData>
            </a:graphic>
          </wp:inline>
        </w:drawing>
      </w:r>
    </w:p>
    <w:p w14:paraId="225EEC81" w14:textId="71D724E1" w:rsidR="00244C1E" w:rsidRDefault="00244C1E" w:rsidP="00244C1E">
      <w:pPr>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Figure 6. Risk Map of Transfer Pricing Function</w:t>
      </w:r>
    </w:p>
    <w:p w14:paraId="5D4839F2" w14:textId="77777777" w:rsidR="00244C1E" w:rsidRDefault="00244C1E"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0B56A713" w14:textId="77777777" w:rsidR="00244C1E" w:rsidRDefault="00244C1E" w:rsidP="00244C1E">
      <w:pPr>
        <w:pStyle w:val="ListParagraph"/>
        <w:numPr>
          <w:ilvl w:val="0"/>
          <w:numId w:val="45"/>
        </w:numPr>
        <w:tabs>
          <w:tab w:val="left" w:pos="284"/>
        </w:tabs>
        <w:spacing w:after="120" w:line="240" w:lineRule="auto"/>
        <w:rPr>
          <w:rFonts w:ascii="Nirmala UI Semilight" w:eastAsia="Times New Roman" w:hAnsi="Nirmala UI Semilight" w:cs="Nirmala UI Semilight"/>
          <w:color w:val="000000"/>
        </w:rPr>
      </w:pPr>
      <w:r w:rsidRPr="00244C1E">
        <w:rPr>
          <w:rFonts w:ascii="Nirmala UI Semilight" w:eastAsia="Times New Roman" w:hAnsi="Nirmala UI Semilight" w:cs="Nirmala UI Semilight"/>
          <w:color w:val="000000"/>
        </w:rPr>
        <w:t>X-axis: the likelihood of non-fulfillment of tax obligations on transactions affected by special relationships</w:t>
      </w:r>
      <w:r>
        <w:rPr>
          <w:rFonts w:ascii="Nirmala UI Semilight" w:eastAsia="Times New Roman" w:hAnsi="Nirmala UI Semilight" w:cs="Nirmala UI Semilight"/>
          <w:color w:val="000000"/>
        </w:rPr>
        <w:t>.</w:t>
      </w:r>
    </w:p>
    <w:p w14:paraId="60326417" w14:textId="315E57AF" w:rsidR="00244C1E" w:rsidRPr="00244C1E" w:rsidRDefault="00244C1E" w:rsidP="00244C1E">
      <w:pPr>
        <w:pStyle w:val="ListParagraph"/>
        <w:numPr>
          <w:ilvl w:val="0"/>
          <w:numId w:val="45"/>
        </w:numPr>
        <w:tabs>
          <w:tab w:val="left" w:pos="284"/>
        </w:tabs>
        <w:spacing w:after="120" w:line="240" w:lineRule="auto"/>
        <w:rPr>
          <w:rFonts w:ascii="Nirmala UI Semilight" w:eastAsia="Times New Roman" w:hAnsi="Nirmala UI Semilight" w:cs="Nirmala UI Semilight"/>
          <w:color w:val="000000"/>
        </w:rPr>
      </w:pPr>
      <w:r w:rsidRPr="00244C1E">
        <w:rPr>
          <w:rFonts w:ascii="Nirmala UI Semilight" w:eastAsia="Times New Roman" w:hAnsi="Nirmala UI Semilight" w:cs="Nirmala UI Semilight"/>
          <w:color w:val="000000"/>
        </w:rPr>
        <w:t>Y-axis: the consequence of non-fulfillment of tax obligations on transactions affected by special relationships.</w:t>
      </w:r>
    </w:p>
    <w:p w14:paraId="7A071A02" w14:textId="77777777" w:rsidR="00244C1E" w:rsidRDefault="00244C1E"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591304A9" w14:textId="194C9796" w:rsidR="00244C1E" w:rsidRDefault="00244C1E" w:rsidP="00244C1E">
      <w:pPr>
        <w:pStyle w:val="ListParagraph"/>
        <w:tabs>
          <w:tab w:val="left" w:pos="284"/>
        </w:tabs>
        <w:spacing w:after="120" w:line="240" w:lineRule="auto"/>
        <w:ind w:left="284"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244C1E">
        <w:rPr>
          <w:rFonts w:ascii="Nirmala UI Semilight" w:eastAsia="Times New Roman" w:hAnsi="Nirmala UI Semilight" w:cs="Nirmala UI Semilight"/>
          <w:color w:val="000000"/>
        </w:rPr>
        <w:t>Collection Risk relates to all possibilities or uncertainties that have an impact on reduced tax revenues due to non-fulfillment of payment obligations on tax arrears caused by the loss of opportunities to collect tax debts and / or disburse tax receivables.</w:t>
      </w:r>
    </w:p>
    <w:p w14:paraId="1C611FFC" w14:textId="77777777" w:rsidR="00244C1E" w:rsidRDefault="00244C1E"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34A09956" w14:textId="4BBAE14C" w:rsidR="00244C1E" w:rsidRDefault="00244C1E" w:rsidP="00244C1E">
      <w:pPr>
        <w:pStyle w:val="ListParagraph"/>
        <w:tabs>
          <w:tab w:val="left" w:pos="284"/>
        </w:tabs>
        <w:spacing w:after="120" w:line="240" w:lineRule="auto"/>
        <w:ind w:left="0" w:firstLine="0"/>
        <w:jc w:val="center"/>
        <w:rPr>
          <w:rFonts w:ascii="Nirmala UI Semilight" w:eastAsia="Times New Roman" w:hAnsi="Nirmala UI Semilight" w:cs="Nirmala UI Semilight"/>
          <w:color w:val="000000"/>
        </w:rPr>
      </w:pPr>
      <w:r w:rsidRPr="00273705">
        <w:rPr>
          <w:rFonts w:ascii="Nirmala UI Semilight" w:eastAsia="Times New Roman" w:hAnsi="Nirmala UI Semilight" w:cs="Nirmala UI Semilight"/>
          <w:noProof/>
          <w:color w:val="000000"/>
          <w:lang w:val="en-ID"/>
        </w:rPr>
        <w:lastRenderedPageBreak/>
        <w:drawing>
          <wp:inline distT="0" distB="0" distL="0" distR="0" wp14:anchorId="5B620A55" wp14:editId="5B334408">
            <wp:extent cx="4848225" cy="2514600"/>
            <wp:effectExtent l="0" t="0" r="9525" b="0"/>
            <wp:docPr id="1053176734" name="Picture 9" descr="A chart of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768442" name="Picture 9" descr="A chart of different color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8225" cy="2514600"/>
                    </a:xfrm>
                    <a:prstGeom prst="rect">
                      <a:avLst/>
                    </a:prstGeom>
                    <a:noFill/>
                    <a:ln>
                      <a:noFill/>
                    </a:ln>
                  </pic:spPr>
                </pic:pic>
              </a:graphicData>
            </a:graphic>
          </wp:inline>
        </w:drawing>
      </w:r>
    </w:p>
    <w:p w14:paraId="6AD43E9A" w14:textId="241A0F49" w:rsidR="00244C1E" w:rsidRDefault="00244C1E" w:rsidP="00244C1E">
      <w:pPr>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Billing Function Risk Map</w:t>
      </w:r>
    </w:p>
    <w:p w14:paraId="638F5949" w14:textId="77777777" w:rsidR="00244C1E" w:rsidRDefault="00244C1E"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2EAADB7B" w14:textId="77777777" w:rsidR="00244C1E" w:rsidRDefault="00244C1E" w:rsidP="00244C1E">
      <w:pPr>
        <w:pStyle w:val="ListParagraph"/>
        <w:numPr>
          <w:ilvl w:val="0"/>
          <w:numId w:val="46"/>
        </w:numPr>
        <w:tabs>
          <w:tab w:val="left" w:pos="284"/>
        </w:tabs>
        <w:spacing w:after="120" w:line="240" w:lineRule="auto"/>
        <w:rPr>
          <w:rFonts w:ascii="Nirmala UI Semilight" w:eastAsia="Times New Roman" w:hAnsi="Nirmala UI Semilight" w:cs="Nirmala UI Semilight"/>
          <w:color w:val="000000"/>
        </w:rPr>
      </w:pPr>
      <w:r w:rsidRPr="00244C1E">
        <w:rPr>
          <w:rFonts w:ascii="Nirmala UI Semilight" w:eastAsia="Times New Roman" w:hAnsi="Nirmala UI Semilight" w:cs="Nirmala UI Semilight"/>
          <w:color w:val="000000"/>
        </w:rPr>
        <w:t>X-axis: the level of possibility of collection of receivables based on the existence and ability of the taxpayer and/or taxpayer to fulfill the payment obligation of tax receivables, as well as the condition of the receivables.</w:t>
      </w:r>
    </w:p>
    <w:p w14:paraId="67693FA1" w14:textId="6BB2C6F6" w:rsidR="00244C1E" w:rsidRDefault="00244C1E" w:rsidP="00244C1E">
      <w:pPr>
        <w:pStyle w:val="ListParagraph"/>
        <w:numPr>
          <w:ilvl w:val="0"/>
          <w:numId w:val="46"/>
        </w:numPr>
        <w:tabs>
          <w:tab w:val="left" w:pos="284"/>
        </w:tabs>
        <w:spacing w:after="120" w:line="240" w:lineRule="auto"/>
        <w:rPr>
          <w:rFonts w:ascii="Nirmala UI Semilight" w:eastAsia="Times New Roman" w:hAnsi="Nirmala UI Semilight" w:cs="Nirmala UI Semilight"/>
          <w:color w:val="000000"/>
        </w:rPr>
      </w:pPr>
      <w:r w:rsidRPr="00244C1E">
        <w:rPr>
          <w:rFonts w:ascii="Nirmala UI Semilight" w:eastAsia="Times New Roman" w:hAnsi="Nirmala UI Semilight" w:cs="Nirmala UI Semilight"/>
          <w:color w:val="000000"/>
        </w:rPr>
        <w:t>Y-axis: the consequences of non-fulfillment of tax receivable payment obligations</w:t>
      </w:r>
      <w:r>
        <w:rPr>
          <w:rFonts w:ascii="Nirmala UI Semilight" w:eastAsia="Times New Roman" w:hAnsi="Nirmala UI Semilight" w:cs="Nirmala UI Semilight"/>
          <w:color w:val="000000"/>
        </w:rPr>
        <w:t>.</w:t>
      </w:r>
    </w:p>
    <w:p w14:paraId="268E4953" w14:textId="0570D1F9" w:rsidR="00244C1E" w:rsidRPr="00244C1E" w:rsidRDefault="00244C1E" w:rsidP="00244C1E">
      <w:pPr>
        <w:tabs>
          <w:tab w:val="left" w:pos="284"/>
        </w:tabs>
        <w:spacing w:after="120" w:line="240" w:lineRule="auto"/>
        <w:ind w:left="284"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244C1E">
        <w:rPr>
          <w:rFonts w:ascii="Nirmala UI Semilight" w:eastAsia="Times New Roman" w:hAnsi="Nirmala UI Semilight" w:cs="Nirmala UI Semilight"/>
          <w:color w:val="000000"/>
        </w:rPr>
        <w:t xml:space="preserve">The explanation of the figure above shows that X1Y1, X2Y1, X1Y2 are conditions where taxpayers enter the </w:t>
      </w:r>
      <w:proofErr w:type="gramStart"/>
      <w:r w:rsidRPr="00244C1E">
        <w:rPr>
          <w:rFonts w:ascii="Nirmala UI Semilight" w:eastAsia="Times New Roman" w:hAnsi="Nirmala UI Semilight" w:cs="Nirmala UI Semilight"/>
          <w:color w:val="000000"/>
        </w:rPr>
        <w:t>low risk</w:t>
      </w:r>
      <w:proofErr w:type="gramEnd"/>
      <w:r w:rsidRPr="00244C1E">
        <w:rPr>
          <w:rFonts w:ascii="Nirmala UI Semilight" w:eastAsia="Times New Roman" w:hAnsi="Nirmala UI Semilight" w:cs="Nirmala UI Semilight"/>
          <w:color w:val="000000"/>
        </w:rPr>
        <w:t xml:space="preserve"> category, while X1Y3, X2Y2, and X3Y1 are medium risk taxpayer categories, then for X2Y3, X3Y3, X3Y2 taxpayers enter the </w:t>
      </w:r>
      <w:proofErr w:type="gramStart"/>
      <w:r w:rsidRPr="00244C1E">
        <w:rPr>
          <w:rFonts w:ascii="Nirmala UI Semilight" w:eastAsia="Times New Roman" w:hAnsi="Nirmala UI Semilight" w:cs="Nirmala UI Semilight"/>
          <w:color w:val="000000"/>
        </w:rPr>
        <w:t>high risk</w:t>
      </w:r>
      <w:proofErr w:type="gramEnd"/>
      <w:r w:rsidRPr="00244C1E">
        <w:rPr>
          <w:rFonts w:ascii="Nirmala UI Semilight" w:eastAsia="Times New Roman" w:hAnsi="Nirmala UI Semilight" w:cs="Nirmala UI Semilight"/>
          <w:color w:val="000000"/>
        </w:rPr>
        <w:t xml:space="preserve"> category, and the last taxpayer enters the highest risk category when in X3Y3. The taxpayer risk mapping stage is a very important stage because it determines the recommended actions that will be given to taxpayers. This process involves analyzing data and information about taxpayers to identify their level of compliance risk. Based on the results of this risk mapping, it can assist tax authorities in determining the most appropriate action for each taxpayer.</w:t>
      </w:r>
    </w:p>
    <w:p w14:paraId="551363E7" w14:textId="77777777" w:rsidR="00244C1E" w:rsidRDefault="00244C1E"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409F0AA9" w14:textId="3F81DCB4" w:rsidR="0019772B" w:rsidRDefault="0019772B" w:rsidP="0019772B">
      <w:pPr>
        <w:pStyle w:val="ListParagraph"/>
        <w:numPr>
          <w:ilvl w:val="0"/>
          <w:numId w:val="40"/>
        </w:numPr>
        <w:tabs>
          <w:tab w:val="left" w:pos="284"/>
        </w:tabs>
        <w:spacing w:after="0" w:line="240" w:lineRule="auto"/>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Determination of Risk Management Strategy</w:t>
      </w:r>
    </w:p>
    <w:p w14:paraId="7F6ED6F7" w14:textId="77777777" w:rsidR="0019772B" w:rsidRPr="0019772B" w:rsidRDefault="0019772B" w:rsidP="0019772B">
      <w:pPr>
        <w:tabs>
          <w:tab w:val="left" w:pos="284"/>
        </w:tabs>
        <w:spacing w:after="0" w:line="240" w:lineRule="auto"/>
        <w:ind w:left="36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19772B">
        <w:rPr>
          <w:rFonts w:ascii="Nirmala UI Semilight" w:eastAsia="Times New Roman" w:hAnsi="Nirmala UI Semilight" w:cs="Nirmala UI Semilight"/>
          <w:color w:val="000000"/>
        </w:rPr>
        <w:t>CRM output is not simply accepted by the tax authority because it is not an absolute result that can be fully relied upon without human intervention and judgment. Decisions generated by CRM can be influenced by various other factors and variables. Therefore, the role of the tax authority is very important to remain actively involved in the decision-making process, both from monitoring, evaluating CRM output, and making the necessary adjustments so that the decisions taken can be accounted for.</w:t>
      </w:r>
    </w:p>
    <w:p w14:paraId="5A39B651" w14:textId="690A2779" w:rsidR="0019772B" w:rsidRPr="0019772B" w:rsidRDefault="0019772B" w:rsidP="0019772B">
      <w:pPr>
        <w:tabs>
          <w:tab w:val="left" w:pos="284"/>
        </w:tabs>
        <w:spacing w:after="0" w:line="240" w:lineRule="auto"/>
        <w:ind w:left="36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proofErr w:type="gramStart"/>
      <w:r w:rsidRPr="0019772B">
        <w:rPr>
          <w:rFonts w:ascii="Nirmala UI Semilight" w:eastAsia="Times New Roman" w:hAnsi="Nirmala UI Semilight" w:cs="Nirmala UI Semilight"/>
          <w:color w:val="000000"/>
        </w:rPr>
        <w:t>In an effort to</w:t>
      </w:r>
      <w:proofErr w:type="gramEnd"/>
      <w:r w:rsidRPr="0019772B">
        <w:rPr>
          <w:rFonts w:ascii="Nirmala UI Semilight" w:eastAsia="Times New Roman" w:hAnsi="Nirmala UI Semilight" w:cs="Nirmala UI Semilight"/>
          <w:color w:val="000000"/>
        </w:rPr>
        <w:t xml:space="preserve"> encourage an increase in taxpayer compliance that has an impact on the achievement of tax revenue targets, the DGT formed a task force called the Taxpayer Compliance Committee. The Taxpayer Compliance Committee was established to enhance the risk management process that acts as a policy maker for CRM treatment recommendations. The Taxpayer Compliance Committee is located at the Head Office, Regional Office, and Tax Office levels. The governance of this committee also aims to create synergy between units to avoid overlapping taxpayer handling through harmonization of the List of Priority Targets for Securing Tax Revenue (DSP4).</w:t>
      </w:r>
    </w:p>
    <w:p w14:paraId="3068D1EF" w14:textId="45992DFD" w:rsidR="0019772B" w:rsidRDefault="0019772B" w:rsidP="0019772B">
      <w:pPr>
        <w:tabs>
          <w:tab w:val="left" w:pos="284"/>
        </w:tabs>
        <w:spacing w:after="0" w:line="240" w:lineRule="auto"/>
        <w:ind w:left="36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19772B">
        <w:rPr>
          <w:rFonts w:ascii="Nirmala UI Semilight" w:eastAsia="Times New Roman" w:hAnsi="Nirmala UI Semilight" w:cs="Nirmala UI Semilight"/>
          <w:color w:val="000000"/>
        </w:rPr>
        <w:t xml:space="preserve">The DSP4 determination process starts from the preparation of DSP4 based on the recommendation of the Head Office Taxpayer Compliance Committee based on criteria in </w:t>
      </w:r>
      <w:r w:rsidRPr="0019772B">
        <w:rPr>
          <w:rFonts w:ascii="Nirmala UI Semilight" w:eastAsia="Times New Roman" w:hAnsi="Nirmala UI Semilight" w:cs="Nirmala UI Semilight"/>
          <w:color w:val="000000"/>
        </w:rPr>
        <w:lastRenderedPageBreak/>
        <w:t>the areas of service, education, supervision, audit, assessment, law enforcement, and collection. Then, the Taxpayer Compliance Committee of the Regional Office and the Tax Office adjust the DSP4 based on the data they have. After alignment, the Head Office Taxpayer Compliance Committee determines the collaborative DSP4 consisting of Disbursement Priority Target List (DSPC), Law Enforcement Priority Target List (DSPPH), Supervision Priority Target List (DPP), Assessment Priority Target List (DSPPn), Audit Priority Target List (DSPP), Extensification Priority Target List (DSPE), and Selected Extension Target List (DSPT).</w:t>
      </w:r>
    </w:p>
    <w:p w14:paraId="02EE5CCC" w14:textId="77777777" w:rsidR="00244C1E" w:rsidRDefault="00244C1E"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5554548C" w14:textId="275B9C97" w:rsidR="0019772B" w:rsidRDefault="0019772B" w:rsidP="0019772B">
      <w:pPr>
        <w:pStyle w:val="ListParagraph"/>
        <w:numPr>
          <w:ilvl w:val="0"/>
          <w:numId w:val="40"/>
        </w:numPr>
        <w:tabs>
          <w:tab w:val="left" w:pos="284"/>
        </w:tabs>
        <w:spacing w:after="0" w:line="240" w:lineRule="auto"/>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Evaluation and Assessment</w:t>
      </w:r>
    </w:p>
    <w:p w14:paraId="13D2C821" w14:textId="4A5B4F27" w:rsidR="002B25BE" w:rsidRDefault="0019772B" w:rsidP="00637B95">
      <w:pPr>
        <w:tabs>
          <w:tab w:val="left" w:pos="284"/>
        </w:tabs>
        <w:spacing w:after="0" w:line="240" w:lineRule="auto"/>
        <w:ind w:left="36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19772B">
        <w:rPr>
          <w:rFonts w:ascii="Nirmala UI Semilight" w:eastAsia="Times New Roman" w:hAnsi="Nirmala UI Semilight" w:cs="Nirmala UI Semilight"/>
          <w:color w:val="000000"/>
        </w:rPr>
        <w:t>To ensure that each taxpayer receives fair and appropriate treatment according to their risk level, DGT refines the CRM every six months. The Tax Revenue Security Priority Target List will be evaluated with the aim that taxpayers included in DSP4 have performed their tax obligations so that they have an impact on tax revenue. The success factor in the application of CRM is largely determined by the extent to which taxpayers perform their tax obligations.</w:t>
      </w:r>
    </w:p>
    <w:p w14:paraId="0C18CA73" w14:textId="77777777" w:rsidR="00C45A1E" w:rsidRDefault="00C45A1E" w:rsidP="00637B95">
      <w:pPr>
        <w:tabs>
          <w:tab w:val="left" w:pos="284"/>
        </w:tabs>
        <w:spacing w:after="0" w:line="240" w:lineRule="auto"/>
        <w:ind w:left="360" w:firstLine="0"/>
        <w:rPr>
          <w:rFonts w:ascii="Nirmala UI Semilight" w:eastAsia="Times New Roman" w:hAnsi="Nirmala UI Semilight" w:cs="Nirmala UI Semilight"/>
          <w:color w:val="000000"/>
        </w:rPr>
      </w:pPr>
    </w:p>
    <w:p w14:paraId="7ECA964A" w14:textId="3E0F5BBD" w:rsidR="002B25BE" w:rsidRDefault="00637B95" w:rsidP="002B25BE">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CRM Process in Identifying Tax Avoidance</w:t>
      </w:r>
    </w:p>
    <w:p w14:paraId="6F9F84CF" w14:textId="77777777" w:rsidR="00637B95" w:rsidRPr="00637B95" w:rsidRDefault="002B25BE" w:rsidP="00637B95">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637B95" w:rsidRPr="00637B95">
        <w:rPr>
          <w:rFonts w:ascii="Nirmala UI Semilight" w:eastAsia="Times New Roman" w:hAnsi="Nirmala UI Semilight" w:cs="Nirmala UI Semilight"/>
          <w:color w:val="000000"/>
        </w:rPr>
        <w:t>CRM is a very important tool in managing tax compliance risk. Tax authorities can use the CRM process to identify potential tax evasion and enable faster risk determination and more targeted responses. Before determining treatment recommendations to taxpayers, the data inputted by taxpayers will be processed by the CRM engine to identify whether there are indications of fraud or tax evasion.</w:t>
      </w:r>
    </w:p>
    <w:p w14:paraId="55B6FDAC" w14:textId="4376DC1C" w:rsidR="00637B95" w:rsidRPr="00637B95" w:rsidRDefault="00637B95" w:rsidP="00637B95">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637B95">
        <w:rPr>
          <w:rFonts w:ascii="Nirmala UI Semilight" w:eastAsia="Times New Roman" w:hAnsi="Nirmala UI Semilight" w:cs="Nirmala UI Semilight"/>
          <w:color w:val="000000"/>
        </w:rPr>
        <w:t>By implementing the CRM business process, it is easier and faster for auditors to examine corporate taxpayers who are on the highest risk map because of corporate taxpayer non-compliance and irregularities in the corporate tax return. Based on the results of the interview, in the case of supervisory action against a taxpayer, the letter issued is a Letter of Request for Explanation of Data and/or Information (SP2DK). If the taxpayer included in the supervision does not provide the data requested by the DGT, then the next step is to enter the audit stage. In the audit, the letter issued is Tax Assessment Letter (SKP), which becomes the DGT's legal basis to follow up on the taxpayer's non-compliance. SKP is regulated in Law Number 6 Year 1983 concerning General Provisions and Procedures for Taxation and then amended in Law Number 28 Year 2007. SKP includes Surat Ketetapan Pajak Kurang Bayar (SKPKB), Surat Ketetapan Pajak Kurang Bayar Tambahan (SKPKBT), Surat Ketetapan Pajak Nihil (SKPN), or Surat Ketetapan Pajak Lebih Bayar (SKPLB).</w:t>
      </w:r>
    </w:p>
    <w:p w14:paraId="682E8EB7" w14:textId="41E6EC79" w:rsidR="00637B95" w:rsidRPr="00637B95" w:rsidRDefault="00637B95" w:rsidP="00637B95">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637B95">
        <w:rPr>
          <w:rFonts w:ascii="Nirmala UI Semilight" w:eastAsia="Times New Roman" w:hAnsi="Nirmala UI Semilight" w:cs="Nirmala UI Semilight"/>
          <w:color w:val="000000"/>
        </w:rPr>
        <w:t>Broadly speaking, SKP aims to collect tax deficiencies, refund if there is a tax overpayment, notify the amount of tax payable, impose tax administrative sanctions, and collect taxes. In the audit process, the examiner has broader authority to obtain the necessary data from sources that have a relationship with the taxpayer. Therefore, the examiner can identify and compare the data obtained with the data reported by the taxpayer.</w:t>
      </w:r>
    </w:p>
    <w:p w14:paraId="5D25FD83" w14:textId="530AB0AD" w:rsidR="00637B95" w:rsidRPr="00637B95" w:rsidRDefault="00637B95" w:rsidP="00637B95">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637B95">
        <w:rPr>
          <w:rFonts w:ascii="Nirmala UI Semilight" w:eastAsia="Times New Roman" w:hAnsi="Nirmala UI Semilight" w:cs="Nirmala UI Semilight"/>
          <w:color w:val="000000"/>
        </w:rPr>
        <w:t>Results and discussion contain answers to research questions, presented in the form of discourse. If the author uses tables or figures, then there needs to be an interpretation of the tables and figures.</w:t>
      </w:r>
    </w:p>
    <w:p w14:paraId="157B6E2C" w14:textId="5C28CB11" w:rsidR="00637B95" w:rsidRPr="00637B95" w:rsidRDefault="00637B95" w:rsidP="00637B95">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637B95">
        <w:rPr>
          <w:rFonts w:ascii="Nirmala UI Semilight" w:eastAsia="Times New Roman" w:hAnsi="Nirmala UI Semilight" w:cs="Nirmala UI Semilight"/>
          <w:color w:val="000000"/>
        </w:rPr>
        <w:t xml:space="preserve">This section should be the largest proportion of the entire article.  If the researcher uses a quantitative approach, it is necessary to explain whether the research results support the grand </w:t>
      </w:r>
      <w:r w:rsidRPr="00637B95">
        <w:rPr>
          <w:rFonts w:ascii="Nirmala UI Semilight" w:eastAsia="Times New Roman" w:hAnsi="Nirmala UI Semilight" w:cs="Nirmala UI Semilight"/>
          <w:color w:val="000000"/>
        </w:rPr>
        <w:lastRenderedPageBreak/>
        <w:t>theory.  It is also necessary to explain why there are differences between the research results and previous research.</w:t>
      </w:r>
    </w:p>
    <w:p w14:paraId="3B3E50D2" w14:textId="77777777" w:rsidR="00637B95" w:rsidRPr="00637B95" w:rsidRDefault="00637B95" w:rsidP="00637B95">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637B95">
        <w:rPr>
          <w:rFonts w:ascii="Nirmala UI Semilight" w:eastAsia="Times New Roman" w:hAnsi="Nirmala UI Semilight" w:cs="Nirmala UI Semilight"/>
          <w:color w:val="000000"/>
        </w:rPr>
        <w:t xml:space="preserve">Emphasize how the research results contribute solutions to the nation's problems.  Avoid repetitive discussions.  Use illustrations and tables to reinforce the findings and narrate them. </w:t>
      </w:r>
    </w:p>
    <w:p w14:paraId="7C87F058" w14:textId="24032C6F" w:rsidR="002B25BE" w:rsidRDefault="00637B95" w:rsidP="00637B95">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637B95">
        <w:rPr>
          <w:rFonts w:ascii="Nirmala UI Semilight" w:eastAsia="Times New Roman" w:hAnsi="Nirmala UI Semilight" w:cs="Nirmala UI Semilight"/>
          <w:color w:val="000000"/>
        </w:rPr>
        <w:t>In qualitative research, if the author in the method uses interviews, it is necessary to present transcriptions to maintain the authenticity of the research. Photos or documents, if presented, also need to be explained.</w:t>
      </w:r>
    </w:p>
    <w:p w14:paraId="087FF6DF" w14:textId="77777777" w:rsidR="002B25BE" w:rsidRDefault="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5A2A765D" w14:textId="77777777" w:rsidR="00A13CC2" w:rsidRDefault="00000000">
      <w:pPr>
        <w:pStyle w:val="Heading1"/>
        <w:numPr>
          <w:ilvl w:val="0"/>
          <w:numId w:val="22"/>
        </w:numPr>
        <w:tabs>
          <w:tab w:val="left" w:pos="284"/>
        </w:tabs>
        <w:spacing w:before="120" w:beforeAutospacing="0" w:after="120" w:afterAutospacing="0"/>
        <w:ind w:left="0" w:firstLine="0"/>
        <w:rPr>
          <w:rFonts w:ascii="Nirmala UI Semilight" w:hAnsi="Nirmala UI Semilight" w:cs="Nirmala UI Semilight"/>
          <w:sz w:val="22"/>
          <w:szCs w:val="22"/>
        </w:rPr>
      </w:pPr>
      <w:r w:rsidRPr="00680F74">
        <w:rPr>
          <w:rFonts w:ascii="Nirmala UI Semilight" w:hAnsi="Nirmala UI Semilight" w:cs="Nirmala UI Semilight"/>
          <w:sz w:val="22"/>
          <w:szCs w:val="22"/>
        </w:rPr>
        <w:t>CONCLUSION</w:t>
      </w:r>
    </w:p>
    <w:p w14:paraId="3513C3E1" w14:textId="77777777" w:rsidR="00637B95" w:rsidRPr="00637B95" w:rsidRDefault="00000000" w:rsidP="00637B95">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637B95" w:rsidRPr="00637B95">
        <w:rPr>
          <w:rFonts w:ascii="Nirmala UI Semilight" w:eastAsia="Times New Roman" w:hAnsi="Nirmala UI Semilight" w:cs="Nirmala UI Semilight"/>
          <w:color w:val="000000"/>
        </w:rPr>
        <w:t xml:space="preserve">The renewal of the COTS-based Tax Administration Core System (PSIAP) aims to renew five main business processes, namely payment, tax services, registration, Taxpayer Account Management (TAM), and tax return reporting, to facilitate taxpayers with efficient processes, integrated information access, and easier interaction with tax authorities. This update is expected to increase tax compliance and tax revenue. In addition, data integration in CRM will improve the efficiency of tax liability risk identification, enabling tax authorities to </w:t>
      </w:r>
      <w:proofErr w:type="gramStart"/>
      <w:r w:rsidR="00637B95" w:rsidRPr="00637B95">
        <w:rPr>
          <w:rFonts w:ascii="Nirmala UI Semilight" w:eastAsia="Times New Roman" w:hAnsi="Nirmala UI Semilight" w:cs="Nirmala UI Semilight"/>
          <w:color w:val="000000"/>
        </w:rPr>
        <w:t>take action</w:t>
      </w:r>
      <w:proofErr w:type="gramEnd"/>
      <w:r w:rsidR="00637B95" w:rsidRPr="00637B95">
        <w:rPr>
          <w:rFonts w:ascii="Nirmala UI Semilight" w:eastAsia="Times New Roman" w:hAnsi="Nirmala UI Semilight" w:cs="Nirmala UI Semilight"/>
          <w:color w:val="000000"/>
        </w:rPr>
        <w:t xml:space="preserve"> more quickly and accurately. PSIAP will also use AI for taxpayer face verification and apply predictive, descriptive, and prescriptive analytics in CRM to improve efficiency.</w:t>
      </w:r>
    </w:p>
    <w:p w14:paraId="524E685A" w14:textId="4B7FF5E2" w:rsidR="00637B95" w:rsidRPr="00637B95" w:rsidRDefault="00637B95" w:rsidP="00637B95">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637B95">
        <w:rPr>
          <w:rFonts w:ascii="Nirmala UI Semilight" w:eastAsia="Times New Roman" w:hAnsi="Nirmala UI Semilight" w:cs="Nirmala UI Semilight"/>
          <w:color w:val="000000"/>
        </w:rPr>
        <w:t>However, the application of AI in DGT faces challenges such as taxpayers' understanding of core tax, high infrastructure costs, HR readiness, potential bias, and data security issues. Nevertheless, with the right strategy, DGT has the potential to improve the effectiveness and efficiency of the tax process. CRM in DGT follows the OECD theory and the results are not directly accepted by the tax authority. Therefore, the DGT established a Taxpayer Compliance Committee to ensure the CRM system recommendations are appropriate and fair. CRM can also identify tax evasion through data analysis, although ARs do not have the authority to access third-party data, which requires examiners with greater authority.</w:t>
      </w:r>
    </w:p>
    <w:p w14:paraId="1BBD3BB7" w14:textId="77777777" w:rsidR="001B782E" w:rsidRDefault="001B782E" w:rsidP="005F5927">
      <w:pPr>
        <w:pStyle w:val="NormalWeb"/>
        <w:spacing w:before="0" w:beforeAutospacing="0" w:after="0" w:afterAutospacing="0"/>
        <w:rPr>
          <w:rFonts w:ascii="Nirmala UI Semilight" w:hAnsi="Nirmala UI Semilight" w:cs="Nirmala UI Semilight"/>
          <w:sz w:val="22"/>
          <w:szCs w:val="22"/>
        </w:rPr>
      </w:pPr>
    </w:p>
    <w:p w14:paraId="45A891A7" w14:textId="77777777" w:rsidR="00A13CC2" w:rsidRDefault="00000000">
      <w:pPr>
        <w:pStyle w:val="Heading1"/>
        <w:tabs>
          <w:tab w:val="left" w:pos="284"/>
        </w:tabs>
        <w:spacing w:before="0" w:beforeAutospacing="0" w:after="120" w:afterAutospacing="0"/>
        <w:jc w:val="center"/>
        <w:rPr>
          <w:rFonts w:ascii="Nirmala UI Semilight" w:hAnsi="Nirmala UI Semilight" w:cs="Nirmala UI Semilight"/>
          <w:sz w:val="22"/>
          <w:szCs w:val="22"/>
        </w:rPr>
      </w:pPr>
      <w:r w:rsidRPr="00680F74">
        <w:rPr>
          <w:rFonts w:ascii="Nirmala UI Semilight" w:hAnsi="Nirmala UI Semilight" w:cs="Nirmala UI Semilight"/>
          <w:sz w:val="22"/>
          <w:szCs w:val="22"/>
        </w:rPr>
        <w:t>ACKNOWLEDGEMENT</w:t>
      </w:r>
    </w:p>
    <w:p w14:paraId="6EE89A04" w14:textId="77777777" w:rsidR="00A13CC2" w:rsidRDefault="00000000">
      <w:pPr>
        <w:pStyle w:val="NormalWeb"/>
        <w:spacing w:before="0" w:beforeAutospacing="0" w:after="0" w:afterAutospacing="0"/>
        <w:ind w:firstLine="340"/>
        <w:jc w:val="both"/>
        <w:rPr>
          <w:rFonts w:ascii="Nirmala UI Semilight" w:hAnsi="Nirmala UI Semilight" w:cs="Nirmala UI Semilight"/>
          <w:sz w:val="22"/>
          <w:szCs w:val="22"/>
        </w:rPr>
      </w:pPr>
      <w:r w:rsidRPr="0093773A">
        <w:rPr>
          <w:rFonts w:ascii="Nirmala UI Semilight" w:hAnsi="Nirmala UI Semilight" w:cs="Nirmala UI Semilight"/>
          <w:sz w:val="22"/>
          <w:szCs w:val="22"/>
        </w:rPr>
        <w:t>The author would like to express gratitude to all the people who have helped in the completion of this study.</w:t>
      </w:r>
    </w:p>
    <w:p w14:paraId="6C69904C" w14:textId="77777777" w:rsidR="0093773A" w:rsidRPr="00E26C4C" w:rsidRDefault="0093773A" w:rsidP="00F0189E">
      <w:pPr>
        <w:pStyle w:val="NormalWeb"/>
        <w:spacing w:before="0" w:beforeAutospacing="0" w:after="0" w:afterAutospacing="0"/>
        <w:jc w:val="center"/>
        <w:rPr>
          <w:rFonts w:ascii="Nirmala UI Semilight" w:hAnsi="Nirmala UI Semilight" w:cs="Nirmala UI Semilight"/>
          <w:sz w:val="22"/>
          <w:szCs w:val="22"/>
        </w:rPr>
      </w:pPr>
    </w:p>
    <w:p w14:paraId="28D1B5C3" w14:textId="77777777" w:rsidR="00A13CC2" w:rsidRDefault="00000000">
      <w:pPr>
        <w:pStyle w:val="Heading1"/>
        <w:tabs>
          <w:tab w:val="left" w:pos="284"/>
        </w:tabs>
        <w:spacing w:before="0" w:beforeAutospacing="0" w:after="120" w:afterAutospacing="0"/>
        <w:jc w:val="center"/>
        <w:rPr>
          <w:rFonts w:ascii="Nirmala UI Semilight" w:hAnsi="Nirmala UI Semilight" w:cs="Nirmala UI Semilight"/>
          <w:sz w:val="22"/>
          <w:szCs w:val="22"/>
        </w:rPr>
      </w:pPr>
      <w:r w:rsidRPr="00680F74">
        <w:rPr>
          <w:rFonts w:ascii="Nirmala UI Semilight" w:hAnsi="Nirmala UI Semilight" w:cs="Nirmala UI Semilight"/>
          <w:sz w:val="22"/>
          <w:szCs w:val="22"/>
        </w:rPr>
        <w:t>REFERENCES</w:t>
      </w:r>
    </w:p>
    <w:p w14:paraId="322EE104" w14:textId="77777777" w:rsidR="00657DA9" w:rsidRPr="00657DA9" w:rsidRDefault="00657DA9" w:rsidP="00657DA9">
      <w:pPr>
        <w:autoSpaceDE w:val="0"/>
        <w:autoSpaceDN w:val="0"/>
        <w:spacing w:after="60" w:line="240" w:lineRule="auto"/>
        <w:ind w:left="480" w:hanging="480"/>
        <w:rPr>
          <w:rFonts w:ascii="Nirmala UI Semilight" w:eastAsia="Times New Roman" w:hAnsi="Nirmala UI Semilight" w:cs="Nirmala UI Semilight"/>
        </w:rPr>
      </w:pPr>
      <w:r w:rsidRPr="00657DA9">
        <w:rPr>
          <w:rFonts w:ascii="Nirmala UI Semilight" w:eastAsia="Times New Roman" w:hAnsi="Nirmala UI Semilight" w:cs="Nirmala UI Semilight"/>
        </w:rPr>
        <w:t>Aryati, T., &amp; Putritanti, L. R. (2017). The Effect of Technology Utilization and Modernization of the Tax Administration System on Individual Taxpayer Compliance. Journal of Accounting and Finance Research, 4(3), 1155-1168. https://doi.org/10.17509/jrak.v4i3.4669</w:t>
      </w:r>
    </w:p>
    <w:p w14:paraId="4E9CAE91" w14:textId="77777777" w:rsidR="00657DA9" w:rsidRPr="00657DA9" w:rsidRDefault="00657DA9" w:rsidP="00657DA9">
      <w:pPr>
        <w:autoSpaceDE w:val="0"/>
        <w:autoSpaceDN w:val="0"/>
        <w:spacing w:after="60" w:line="240" w:lineRule="auto"/>
        <w:ind w:left="480" w:hanging="480"/>
        <w:rPr>
          <w:rFonts w:ascii="Nirmala UI Semilight" w:eastAsia="Times New Roman" w:hAnsi="Nirmala UI Semilight" w:cs="Nirmala UI Semilight"/>
        </w:rPr>
      </w:pPr>
      <w:r w:rsidRPr="00657DA9">
        <w:rPr>
          <w:rFonts w:ascii="Nirmala UI Semilight" w:eastAsia="Times New Roman" w:hAnsi="Nirmala UI Semilight" w:cs="Nirmala UI Semilight"/>
        </w:rPr>
        <w:t>Barr, A., &amp; Feigenbaum, E. A. (1982). The Handbook of Artificial Intelligence. Wiley Inc.</w:t>
      </w:r>
    </w:p>
    <w:p w14:paraId="500EDC88" w14:textId="77777777" w:rsidR="00657DA9" w:rsidRPr="00657DA9" w:rsidRDefault="00657DA9" w:rsidP="00657DA9">
      <w:pPr>
        <w:autoSpaceDE w:val="0"/>
        <w:autoSpaceDN w:val="0"/>
        <w:spacing w:after="60" w:line="240" w:lineRule="auto"/>
        <w:ind w:left="480" w:hanging="480"/>
        <w:rPr>
          <w:rFonts w:ascii="Nirmala UI Semilight" w:eastAsia="Times New Roman" w:hAnsi="Nirmala UI Semilight" w:cs="Nirmala UI Semilight"/>
        </w:rPr>
      </w:pPr>
      <w:r w:rsidRPr="00657DA9">
        <w:rPr>
          <w:rFonts w:ascii="Nirmala UI Semilight" w:eastAsia="Times New Roman" w:hAnsi="Nirmala UI Semilight" w:cs="Nirmala UI Semilight"/>
        </w:rPr>
        <w:t>Diamendia, T., &amp; Setyowati, M. S. (2021). Analysis of Machine Learning-Based Compliance Risk Management Policy at the Directorate General of Taxes. Indonesian Treasury Review: Journal of Treasury, State Finance and Public Policy, 6(3), 289-298. https://doi.org/10.33105/itrev.v6i3.401</w:t>
      </w:r>
    </w:p>
    <w:p w14:paraId="5B85FEA1" w14:textId="77777777" w:rsidR="00657DA9" w:rsidRPr="00657DA9" w:rsidRDefault="00657DA9" w:rsidP="00657DA9">
      <w:pPr>
        <w:autoSpaceDE w:val="0"/>
        <w:autoSpaceDN w:val="0"/>
        <w:spacing w:after="60" w:line="240" w:lineRule="auto"/>
        <w:ind w:left="480" w:hanging="480"/>
        <w:rPr>
          <w:rFonts w:ascii="Nirmala UI Semilight" w:eastAsia="Times New Roman" w:hAnsi="Nirmala UI Semilight" w:cs="Nirmala UI Semilight"/>
        </w:rPr>
      </w:pPr>
      <w:r w:rsidRPr="00657DA9">
        <w:rPr>
          <w:rFonts w:ascii="Nirmala UI Semilight" w:eastAsia="Times New Roman" w:hAnsi="Nirmala UI Semilight" w:cs="Nirmala UI Semilight"/>
        </w:rPr>
        <w:t>Directorate General of Taxes. (2019). Circular Letter of the Director General of Taxes Number SE24/PJ/2019. https://datacenter.ortax.org/ortax/aturan/show/16857</w:t>
      </w:r>
    </w:p>
    <w:p w14:paraId="4055DD11" w14:textId="77777777" w:rsidR="00657DA9" w:rsidRPr="00657DA9" w:rsidRDefault="00657DA9" w:rsidP="00657DA9">
      <w:pPr>
        <w:autoSpaceDE w:val="0"/>
        <w:autoSpaceDN w:val="0"/>
        <w:spacing w:after="60" w:line="240" w:lineRule="auto"/>
        <w:ind w:left="480" w:hanging="480"/>
        <w:rPr>
          <w:rFonts w:ascii="Nirmala UI Semilight" w:eastAsia="Times New Roman" w:hAnsi="Nirmala UI Semilight" w:cs="Nirmala UI Semilight"/>
        </w:rPr>
      </w:pPr>
      <w:r w:rsidRPr="00657DA9">
        <w:rPr>
          <w:rFonts w:ascii="Nirmala UI Semilight" w:eastAsia="Times New Roman" w:hAnsi="Nirmala UI Semilight" w:cs="Nirmala UI Semilight"/>
        </w:rPr>
        <w:t>Directorate General of Taxes. (2021). Directorate General of Taxes Circular Letter Number SE39/PJ/2021. https://datacenter.ortax.org/ortax/aturan/show/17508</w:t>
      </w:r>
    </w:p>
    <w:p w14:paraId="01ED0EAF" w14:textId="77777777" w:rsidR="00657DA9" w:rsidRPr="00657DA9" w:rsidRDefault="00657DA9" w:rsidP="00657DA9">
      <w:pPr>
        <w:autoSpaceDE w:val="0"/>
        <w:autoSpaceDN w:val="0"/>
        <w:spacing w:after="60" w:line="240" w:lineRule="auto"/>
        <w:ind w:left="480" w:hanging="480"/>
        <w:rPr>
          <w:rFonts w:ascii="Nirmala UI Semilight" w:eastAsia="Times New Roman" w:hAnsi="Nirmala UI Semilight" w:cs="Nirmala UI Semilight"/>
        </w:rPr>
      </w:pPr>
      <w:r w:rsidRPr="00657DA9">
        <w:rPr>
          <w:rFonts w:ascii="Nirmala UI Semilight" w:eastAsia="Times New Roman" w:hAnsi="Nirmala UI Semilight" w:cs="Nirmala UI Semilight"/>
        </w:rPr>
        <w:lastRenderedPageBreak/>
        <w:t>MENPANRB Public Relations. (2020). Excellent ASN is the Key to the Success of e-Services. https://www.menpan.go.id/site/berita-terkini/asn-unggul-jadi-kuncikeberhasilan-e-services</w:t>
      </w:r>
    </w:p>
    <w:p w14:paraId="3655ACBA" w14:textId="77777777" w:rsidR="00657DA9" w:rsidRPr="00657DA9" w:rsidRDefault="00657DA9" w:rsidP="00657DA9">
      <w:pPr>
        <w:autoSpaceDE w:val="0"/>
        <w:autoSpaceDN w:val="0"/>
        <w:spacing w:after="60" w:line="240" w:lineRule="auto"/>
        <w:ind w:left="480" w:hanging="480"/>
        <w:rPr>
          <w:rFonts w:ascii="Nirmala UI Semilight" w:eastAsia="Times New Roman" w:hAnsi="Nirmala UI Semilight" w:cs="Nirmala UI Semilight"/>
        </w:rPr>
      </w:pPr>
      <w:r w:rsidRPr="00657DA9">
        <w:rPr>
          <w:rFonts w:ascii="Nirmala UI Semilight" w:eastAsia="Times New Roman" w:hAnsi="Nirmala UI Semilight" w:cs="Nirmala UI Semilight"/>
        </w:rPr>
        <w:t>Indriani, M. D., &amp; Juniarti. (2020). The Effect of Company Size, Company Age, Sales Growth, and Profitability on Tax Avoidance. STEI Jakarta Repository, 1-19.</w:t>
      </w:r>
    </w:p>
    <w:p w14:paraId="4186CFDA" w14:textId="77777777" w:rsidR="00657DA9" w:rsidRPr="00657DA9" w:rsidRDefault="00657DA9" w:rsidP="00657DA9">
      <w:pPr>
        <w:autoSpaceDE w:val="0"/>
        <w:autoSpaceDN w:val="0"/>
        <w:spacing w:after="60" w:line="240" w:lineRule="auto"/>
        <w:ind w:left="480" w:hanging="480"/>
        <w:rPr>
          <w:rFonts w:ascii="Nirmala UI Semilight" w:eastAsia="Times New Roman" w:hAnsi="Nirmala UI Semilight" w:cs="Nirmala UI Semilight"/>
        </w:rPr>
      </w:pPr>
      <w:r w:rsidRPr="00657DA9">
        <w:rPr>
          <w:rFonts w:ascii="Nirmala UI Semilight" w:eastAsia="Times New Roman" w:hAnsi="Nirmala UI Semilight" w:cs="Nirmala UI Semilight"/>
        </w:rPr>
        <w:t>Jaya, H., Sabran, D., Pd, M., Ma, M., Djawad, Y. A., Sc, M., Ilham, A., Ahmar, A. S., Si, S., &amp; Sc, M. (2018). Artificial Intelligence. In Journal of Chemical Information and Modeling (Vol. 53, Issue 9). Faculty of Mathematics and Natural Sciences, Makassar State University.</w:t>
      </w:r>
    </w:p>
    <w:p w14:paraId="2620CD08" w14:textId="77777777" w:rsidR="00657DA9" w:rsidRPr="00657DA9" w:rsidRDefault="00657DA9" w:rsidP="00657DA9">
      <w:pPr>
        <w:autoSpaceDE w:val="0"/>
        <w:autoSpaceDN w:val="0"/>
        <w:spacing w:after="60" w:line="240" w:lineRule="auto"/>
        <w:ind w:left="480" w:hanging="480"/>
        <w:rPr>
          <w:rFonts w:ascii="Nirmala UI Semilight" w:eastAsia="Times New Roman" w:hAnsi="Nirmala UI Semilight" w:cs="Nirmala UI Semilight"/>
        </w:rPr>
      </w:pPr>
      <w:r w:rsidRPr="00657DA9">
        <w:rPr>
          <w:rFonts w:ascii="Nirmala UI Semilight" w:eastAsia="Times New Roman" w:hAnsi="Nirmala UI Semilight" w:cs="Nirmala UI Semilight"/>
        </w:rPr>
        <w:t>OECD. (2004). Compliance risk management: managing and improving tax compliance. Center for Tax Policy and Administration, October, 1-73.</w:t>
      </w:r>
    </w:p>
    <w:p w14:paraId="1B826BF6" w14:textId="77777777" w:rsidR="00657DA9" w:rsidRPr="00657DA9" w:rsidRDefault="00657DA9" w:rsidP="00657DA9">
      <w:pPr>
        <w:autoSpaceDE w:val="0"/>
        <w:autoSpaceDN w:val="0"/>
        <w:spacing w:after="60" w:line="240" w:lineRule="auto"/>
        <w:ind w:left="480" w:hanging="480"/>
        <w:rPr>
          <w:rFonts w:ascii="Nirmala UI Semilight" w:eastAsia="Times New Roman" w:hAnsi="Nirmala UI Semilight" w:cs="Nirmala UI Semilight"/>
        </w:rPr>
      </w:pPr>
      <w:r w:rsidRPr="00657DA9">
        <w:rPr>
          <w:rFonts w:ascii="Nirmala UI Semilight" w:eastAsia="Times New Roman" w:hAnsi="Nirmala UI Semilight" w:cs="Nirmala UI Semilight"/>
        </w:rPr>
        <w:t>Ott, K. (1998). Tax Administration Reform in Transition: The Case of Croatia. Occasional Paper Series, 5. https://doi.org/10.3326/ops.5</w:t>
      </w:r>
    </w:p>
    <w:p w14:paraId="13828EA3" w14:textId="77777777" w:rsidR="00657DA9" w:rsidRPr="00657DA9" w:rsidRDefault="00657DA9" w:rsidP="00657DA9">
      <w:pPr>
        <w:autoSpaceDE w:val="0"/>
        <w:autoSpaceDN w:val="0"/>
        <w:spacing w:after="60" w:line="240" w:lineRule="auto"/>
        <w:ind w:left="480" w:hanging="480"/>
        <w:rPr>
          <w:rFonts w:ascii="Nirmala UI Semilight" w:eastAsia="Times New Roman" w:hAnsi="Nirmala UI Semilight" w:cs="Nirmala UI Semilight"/>
        </w:rPr>
      </w:pPr>
      <w:r w:rsidRPr="00657DA9">
        <w:rPr>
          <w:rFonts w:ascii="Nirmala UI Semilight" w:eastAsia="Times New Roman" w:hAnsi="Nirmala UI Semilight" w:cs="Nirmala UI Semilight"/>
        </w:rPr>
        <w:t>Pandiangan, L. (2007). Modernization &amp; Reform of Taxation Services Based on the Latest Law. PT Elex Media Komputindo. https://books.google.co.id/books?id=lOXOEV7GpVwC&amp;printsec=frontcover&amp;hl=id#v=onepage&amp;q&amp;f=false</w:t>
      </w:r>
    </w:p>
    <w:p w14:paraId="22E35D25" w14:textId="77777777" w:rsidR="00657DA9" w:rsidRPr="00657DA9" w:rsidRDefault="00657DA9" w:rsidP="00657DA9">
      <w:pPr>
        <w:autoSpaceDE w:val="0"/>
        <w:autoSpaceDN w:val="0"/>
        <w:spacing w:after="60" w:line="240" w:lineRule="auto"/>
        <w:ind w:left="480" w:hanging="480"/>
        <w:rPr>
          <w:rFonts w:ascii="Nirmala UI Semilight" w:eastAsia="Times New Roman" w:hAnsi="Nirmala UI Semilight" w:cs="Nirmala UI Semilight"/>
        </w:rPr>
      </w:pPr>
      <w:r w:rsidRPr="00657DA9">
        <w:rPr>
          <w:rFonts w:ascii="Nirmala UI Semilight" w:eastAsia="Times New Roman" w:hAnsi="Nirmala UI Semilight" w:cs="Nirmala UI Semilight"/>
        </w:rPr>
        <w:t>Pohan, C. A. (2013). Taxation Management. Gramedia Pustaka Utama.</w:t>
      </w:r>
    </w:p>
    <w:p w14:paraId="4B483BFD" w14:textId="77777777" w:rsidR="00657DA9" w:rsidRPr="00657DA9" w:rsidRDefault="00657DA9" w:rsidP="00657DA9">
      <w:pPr>
        <w:autoSpaceDE w:val="0"/>
        <w:autoSpaceDN w:val="0"/>
        <w:spacing w:after="60" w:line="240" w:lineRule="auto"/>
        <w:ind w:left="480" w:hanging="480"/>
        <w:rPr>
          <w:rFonts w:ascii="Nirmala UI Semilight" w:eastAsia="Times New Roman" w:hAnsi="Nirmala UI Semilight" w:cs="Nirmala UI Semilight"/>
        </w:rPr>
      </w:pPr>
      <w:r w:rsidRPr="00657DA9">
        <w:rPr>
          <w:rFonts w:ascii="Nirmala UI Semilight" w:eastAsia="Times New Roman" w:hAnsi="Nirmala UI Semilight" w:cs="Nirmala UI Semilight"/>
        </w:rPr>
        <w:t>Rahayu, S. K. (2010). Indonesian Taxation. Graha Ilmu.</w:t>
      </w:r>
    </w:p>
    <w:p w14:paraId="380FCD30" w14:textId="56436C88" w:rsidR="00657DA9" w:rsidRPr="00657DA9" w:rsidRDefault="00657DA9" w:rsidP="00657DA9">
      <w:pPr>
        <w:autoSpaceDE w:val="0"/>
        <w:autoSpaceDN w:val="0"/>
        <w:spacing w:after="60" w:line="240" w:lineRule="auto"/>
        <w:ind w:left="480" w:hanging="480"/>
        <w:rPr>
          <w:rFonts w:ascii="Nirmala UI Semilight" w:eastAsia="Times New Roman" w:hAnsi="Nirmala UI Semilight" w:cs="Nirmala UI Semilight"/>
        </w:rPr>
      </w:pPr>
      <w:r w:rsidRPr="00657DA9">
        <w:rPr>
          <w:rFonts w:ascii="Nirmala UI Semilight" w:eastAsia="Times New Roman" w:hAnsi="Nirmala UI Semilight" w:cs="Nirmala UI Semilight"/>
        </w:rPr>
        <w:t>Saragih, A. H., Reyhani, Q., Setyowati, M. S., &amp; Hendrawan, A. (2022). The potential of an artificial intelligence (AI) application for the tax administration system's modernization: the case of Indonesia. Artificial Intelligence and Law, 31(3), 491-514. https://doi.org/10.1007/s10506-022-09321-y</w:t>
      </w:r>
    </w:p>
    <w:p w14:paraId="0B413ACC" w14:textId="16870E7C" w:rsidR="00657DA9" w:rsidRPr="00657DA9" w:rsidRDefault="00657DA9" w:rsidP="00657DA9">
      <w:pPr>
        <w:autoSpaceDE w:val="0"/>
        <w:autoSpaceDN w:val="0"/>
        <w:spacing w:after="60" w:line="240" w:lineRule="auto"/>
        <w:ind w:left="480" w:hanging="480"/>
        <w:rPr>
          <w:rFonts w:ascii="Nirmala UI Semilight" w:eastAsia="Times New Roman" w:hAnsi="Nirmala UI Semilight" w:cs="Nirmala UI Semilight"/>
        </w:rPr>
      </w:pPr>
      <w:r w:rsidRPr="00657DA9">
        <w:rPr>
          <w:rFonts w:ascii="Nirmala UI Semilight" w:eastAsia="Times New Roman" w:hAnsi="Nirmala UI Semilight" w:cs="Nirmala UI Semilight"/>
        </w:rPr>
        <w:t>Singh, S., &amp; Sukhvinder, S. (2010). Artificial Intelligence. International Journal of Computer Applications, 6, 21-32. https://doi.org/10.22214/ijraset.2022.44306</w:t>
      </w:r>
    </w:p>
    <w:p w14:paraId="2C554DD1" w14:textId="44088946" w:rsidR="00657DA9" w:rsidRPr="00657DA9" w:rsidRDefault="00657DA9" w:rsidP="00657DA9">
      <w:pPr>
        <w:autoSpaceDE w:val="0"/>
        <w:autoSpaceDN w:val="0"/>
        <w:spacing w:after="60" w:line="240" w:lineRule="auto"/>
        <w:ind w:left="480" w:hanging="480"/>
        <w:rPr>
          <w:rFonts w:ascii="Nirmala UI Semilight" w:eastAsia="Times New Roman" w:hAnsi="Nirmala UI Semilight" w:cs="Nirmala UI Semilight"/>
        </w:rPr>
      </w:pPr>
      <w:r w:rsidRPr="00657DA9">
        <w:rPr>
          <w:rFonts w:ascii="Nirmala UI Semilight" w:eastAsia="Times New Roman" w:hAnsi="Nirmala UI Semilight" w:cs="Nirmala UI Semilight"/>
        </w:rPr>
        <w:t>Taylor, G., &amp; Richardson, G. (2012). International Corporate Tax Avoidance Practices: Evidence from Australian Firms. The International Journal of Accounting, 47(4), 469-496. https://www.sciencedirect.com/science/article/abs/pii/S0020706312001197</w:t>
      </w:r>
    </w:p>
    <w:p w14:paraId="2E7102C4" w14:textId="5F972237" w:rsidR="00A13CC2" w:rsidRDefault="00657DA9" w:rsidP="00657DA9">
      <w:pPr>
        <w:autoSpaceDE w:val="0"/>
        <w:autoSpaceDN w:val="0"/>
        <w:spacing w:after="60" w:line="240" w:lineRule="auto"/>
        <w:ind w:left="480" w:hanging="480"/>
        <w:rPr>
          <w:rFonts w:ascii="Nirmala UI Semilight" w:eastAsia="Times New Roman" w:hAnsi="Nirmala UI Semilight" w:cs="Nirmala UI Semilight"/>
        </w:rPr>
      </w:pPr>
      <w:r w:rsidRPr="00657DA9">
        <w:rPr>
          <w:rFonts w:ascii="Nirmala UI Semilight" w:eastAsia="Times New Roman" w:hAnsi="Nirmala UI Semilight" w:cs="Nirmala UI Semilight"/>
        </w:rPr>
        <w:t>Wirtz, B. W., &amp; Müller, W. M. (2019). An integrated artificial intelligence framework for public management. Public Management Review, 21(7), 1076-1100.</w:t>
      </w:r>
    </w:p>
    <w:sectPr w:rsidR="00A13CC2" w:rsidSect="00D02B83">
      <w:headerReference w:type="default" r:id="rId10"/>
      <w:footerReference w:type="default" r:id="rId11"/>
      <w:headerReference w:type="first" r:id="rId12"/>
      <w:footerReference w:type="first" r:id="rId13"/>
      <w:pgSz w:w="11906" w:h="16838" w:code="9"/>
      <w:pgMar w:top="1418" w:right="1418" w:bottom="1418"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B036F" w14:textId="77777777" w:rsidR="00AE0330" w:rsidRDefault="00AE0330" w:rsidP="00B51E45">
      <w:pPr>
        <w:spacing w:after="0" w:line="240" w:lineRule="auto"/>
      </w:pPr>
      <w:r>
        <w:separator/>
      </w:r>
    </w:p>
  </w:endnote>
  <w:endnote w:type="continuationSeparator" w:id="0">
    <w:p w14:paraId="5E70B06B" w14:textId="77777777" w:rsidR="00AE0330" w:rsidRDefault="00AE0330" w:rsidP="00B51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irmala UI Semilight">
    <w:panose1 w:val="020B0402040204020203"/>
    <w:charset w:val="00"/>
    <w:family w:val="swiss"/>
    <w:pitch w:val="variable"/>
    <w:sig w:usb0="80FF8023" w:usb1="0200004A" w:usb2="000002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eelawadee UI">
    <w:panose1 w:val="020B0502040204020203"/>
    <w:charset w:val="00"/>
    <w:family w:val="swiss"/>
    <w:pitch w:val="variable"/>
    <w:sig w:usb0="A3000003" w:usb1="00000000" w:usb2="00010000" w:usb3="00000000" w:csb0="00010101" w:csb1="00000000"/>
  </w:font>
  <w:font w:name="Leelawadee UI Semilight">
    <w:panose1 w:val="020B04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B462" w14:textId="2BDFBCA1" w:rsidR="00A13CC2" w:rsidRDefault="00675F52">
    <w:pPr>
      <w:pBdr>
        <w:top w:val="nil"/>
        <w:left w:val="nil"/>
        <w:bottom w:val="nil"/>
        <w:right w:val="nil"/>
        <w:between w:val="nil"/>
      </w:pBdr>
      <w:tabs>
        <w:tab w:val="center" w:pos="4680"/>
        <w:tab w:val="right" w:pos="9360"/>
        <w:tab w:val="center" w:pos="4395"/>
        <w:tab w:val="right" w:pos="8788"/>
      </w:tabs>
      <w:suppressAutoHyphens/>
      <w:spacing w:after="0" w:line="240" w:lineRule="auto"/>
      <w:ind w:left="2" w:hangingChars="1" w:hanging="2"/>
      <w:jc w:val="center"/>
      <w:textDirection w:val="btLr"/>
      <w:textAlignment w:val="top"/>
      <w:outlineLvl w:val="0"/>
      <w:rPr>
        <w:rFonts w:ascii="Times New Roman" w:eastAsia="Times New Roman" w:hAnsi="Times New Roman" w:cs="Times New Roman"/>
        <w:i/>
        <w:color w:val="000000"/>
        <w:position w:val="-1"/>
        <w:sz w:val="18"/>
        <w:szCs w:val="18"/>
      </w:rPr>
    </w:pPr>
    <w:r>
      <w:rPr>
        <w:rFonts w:ascii="Times New Roman" w:eastAsia="Times New Roman" w:hAnsi="Times New Roman" w:cs="Times New Roman"/>
        <w:i/>
        <w:color w:val="000000"/>
        <w:position w:val="-1"/>
        <w:sz w:val="18"/>
        <w:szCs w:val="18"/>
      </w:rPr>
      <w:t xml:space="preserve">Alisawa </w:t>
    </w:r>
    <w:r w:rsidR="00D17232" w:rsidRPr="00AD294B">
      <w:rPr>
        <w:rFonts w:ascii="Times New Roman" w:eastAsia="Times New Roman" w:hAnsi="Times New Roman" w:cs="Times New Roman"/>
        <w:i/>
        <w:color w:val="000000"/>
        <w:position w:val="-1"/>
        <w:sz w:val="16"/>
        <w:szCs w:val="16"/>
      </w:rPr>
      <w:t>(</w:t>
    </w:r>
    <w:r w:rsidRPr="00675F52">
      <w:rPr>
        <w:rFonts w:ascii="Times New Roman" w:eastAsia="Times New Roman" w:hAnsi="Times New Roman" w:cs="Times New Roman"/>
        <w:i/>
        <w:color w:val="000000"/>
        <w:position w:val="-1"/>
        <w:sz w:val="18"/>
        <w:szCs w:val="18"/>
      </w:rPr>
      <w:t xml:space="preserve">Opportunities </w:t>
    </w:r>
    <w:r>
      <w:rPr>
        <w:rFonts w:ascii="Times New Roman" w:eastAsia="Times New Roman" w:hAnsi="Times New Roman" w:cs="Times New Roman"/>
        <w:i/>
        <w:color w:val="000000"/>
        <w:position w:val="-1"/>
        <w:sz w:val="18"/>
        <w:szCs w:val="18"/>
      </w:rPr>
      <w:t>a</w:t>
    </w:r>
    <w:r w:rsidRPr="00675F52">
      <w:rPr>
        <w:rFonts w:ascii="Times New Roman" w:eastAsia="Times New Roman" w:hAnsi="Times New Roman" w:cs="Times New Roman"/>
        <w:i/>
        <w:color w:val="000000"/>
        <w:position w:val="-1"/>
        <w:sz w:val="18"/>
        <w:szCs w:val="18"/>
      </w:rPr>
      <w:t xml:space="preserve">nd Challenges </w:t>
    </w:r>
    <w:r>
      <w:rPr>
        <w:rFonts w:ascii="Times New Roman" w:eastAsia="Times New Roman" w:hAnsi="Times New Roman" w:cs="Times New Roman"/>
        <w:i/>
        <w:color w:val="000000"/>
        <w:position w:val="-1"/>
        <w:sz w:val="18"/>
        <w:szCs w:val="18"/>
      </w:rPr>
      <w:t>o</w:t>
    </w:r>
    <w:r w:rsidRPr="00675F52">
      <w:rPr>
        <w:rFonts w:ascii="Times New Roman" w:eastAsia="Times New Roman" w:hAnsi="Times New Roman" w:cs="Times New Roman"/>
        <w:i/>
        <w:color w:val="000000"/>
        <w:position w:val="-1"/>
        <w:sz w:val="18"/>
        <w:szCs w:val="18"/>
      </w:rPr>
      <w:t xml:space="preserve">f Implementing Artificial Intelligence </w:t>
    </w:r>
    <w:r>
      <w:rPr>
        <w:rFonts w:ascii="Times New Roman" w:eastAsia="Times New Roman" w:hAnsi="Times New Roman" w:cs="Times New Roman"/>
        <w:i/>
        <w:color w:val="000000"/>
        <w:position w:val="-1"/>
        <w:sz w:val="18"/>
        <w:szCs w:val="18"/>
      </w:rPr>
      <w:t>i</w:t>
    </w:r>
    <w:r w:rsidRPr="00675F52">
      <w:rPr>
        <w:rFonts w:ascii="Times New Roman" w:eastAsia="Times New Roman" w:hAnsi="Times New Roman" w:cs="Times New Roman"/>
        <w:i/>
        <w:color w:val="000000"/>
        <w:position w:val="-1"/>
        <w:sz w:val="18"/>
        <w:szCs w:val="18"/>
      </w:rPr>
      <w:t>n Tax Administration System</w:t>
    </w:r>
    <w:r w:rsidR="00E75667" w:rsidRPr="00E75667">
      <w:rPr>
        <w:rFonts w:ascii="Times New Roman" w:eastAsia="Times New Roman" w:hAnsi="Times New Roman" w:cs="Times New Roman"/>
        <w:i/>
        <w:color w:val="000000"/>
        <w:position w:val="-1"/>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D5C4" w14:textId="77777777" w:rsidR="00A13CC2" w:rsidRDefault="00000000">
    <w:pPr>
      <w:pBdr>
        <w:top w:val="single" w:sz="4" w:space="1" w:color="000000"/>
        <w:left w:val="nil"/>
        <w:bottom w:val="nil"/>
        <w:right w:val="nil"/>
        <w:between w:val="nil"/>
      </w:pBdr>
      <w:tabs>
        <w:tab w:val="center" w:pos="4680"/>
        <w:tab w:val="left" w:pos="5263"/>
        <w:tab w:val="right" w:pos="9360"/>
        <w:tab w:val="right" w:pos="8788"/>
      </w:tabs>
      <w:suppressAutoHyphens/>
      <w:spacing w:line="259" w:lineRule="auto"/>
      <w:ind w:leftChars="-1" w:left="0" w:hangingChars="1" w:hanging="2"/>
      <w:jc w:val="left"/>
      <w:textDirection w:val="btLr"/>
      <w:textAlignment w:val="top"/>
      <w:outlineLvl w:val="0"/>
      <w:rPr>
        <w:rFonts w:ascii="Times New Roman" w:eastAsia="Times New Roman" w:hAnsi="Times New Roman" w:cs="Times New Roman"/>
        <w:bCs/>
        <w:color w:val="000000"/>
        <w:position w:val="-1"/>
        <w:sz w:val="18"/>
        <w:szCs w:val="18"/>
      </w:rPr>
    </w:pPr>
    <w:bookmarkStart w:id="1" w:name="_Hlk169814747"/>
    <w:r w:rsidRPr="00A02202">
      <w:rPr>
        <w:rFonts w:ascii="Times New Roman" w:eastAsia="Times New Roman" w:hAnsi="Times New Roman" w:cs="Times New Roman"/>
        <w:color w:val="000000"/>
        <w:position w:val="-1"/>
        <w:sz w:val="18"/>
        <w:szCs w:val="18"/>
      </w:rPr>
      <w:t xml:space="preserve">DOI: </w:t>
    </w:r>
    <w:r w:rsidRPr="00A02202">
      <w:rPr>
        <w:rFonts w:ascii="Times New Roman" w:eastAsia="Times New Roman" w:hAnsi="Times New Roman" w:cs="Times New Roman"/>
        <w:color w:val="000000"/>
        <w:position w:val="-1"/>
        <w:sz w:val="18"/>
        <w:szCs w:val="18"/>
      </w:rPr>
      <w:tab/>
    </w:r>
    <w:r w:rsidRPr="00A02202">
      <w:rPr>
        <w:rFonts w:ascii="Times New Roman" w:eastAsia="Times New Roman" w:hAnsi="Times New Roman" w:cs="Times New Roman"/>
        <w:color w:val="000000"/>
        <w:position w:val="-1"/>
        <w:sz w:val="18"/>
        <w:szCs w:val="18"/>
      </w:rPr>
      <w:tab/>
    </w:r>
    <w:r>
      <w:rPr>
        <w:rFonts w:ascii="Times New Roman" w:eastAsia="Times New Roman" w:hAnsi="Times New Roman" w:cs="Times New Roman"/>
        <w:color w:val="000000"/>
        <w:position w:val="-1"/>
        <w:sz w:val="18"/>
        <w:szCs w:val="18"/>
      </w:rPr>
      <w:tab/>
    </w:r>
    <w:proofErr w:type="gramStart"/>
    <w:r w:rsidRPr="00A02202">
      <w:rPr>
        <w:rFonts w:ascii="Nirmala UI Semilight" w:eastAsia="Nirmala UI Semilight" w:hAnsi="Nirmala UI Semilight" w:cs="Nirmala UI Semilight"/>
        <w:bCs/>
        <w:color w:val="000000"/>
        <w:position w:val="-1"/>
        <w:sz w:val="18"/>
        <w:szCs w:val="18"/>
      </w:rPr>
      <w:t>W :</w:t>
    </w:r>
    <w:proofErr w:type="gramEnd"/>
    <w:r w:rsidRPr="00A02202">
      <w:rPr>
        <w:rFonts w:ascii="Nirmala UI Semilight" w:eastAsia="Nirmala UI Semilight" w:hAnsi="Nirmala UI Semilight" w:cs="Nirmala UI Semilight"/>
        <w:bCs/>
        <w:color w:val="000000"/>
        <w:position w:val="-1"/>
        <w:sz w:val="18"/>
        <w:szCs w:val="18"/>
      </w:rPr>
      <w:t xml:space="preserve"> http://ijrfb.com | </w:t>
    </w:r>
    <w:proofErr w:type="gramStart"/>
    <w:r w:rsidRPr="00A02202">
      <w:rPr>
        <w:rFonts w:ascii="Nirmala UI Semilight" w:eastAsia="Nirmala UI Semilight" w:hAnsi="Nirmala UI Semilight" w:cs="Nirmala UI Semilight"/>
        <w:bCs/>
        <w:color w:val="000000"/>
        <w:position w:val="-1"/>
        <w:sz w:val="18"/>
        <w:szCs w:val="18"/>
      </w:rPr>
      <w:t>E :</w:t>
    </w:r>
    <w:proofErr w:type="gramEnd"/>
    <w:r w:rsidRPr="00A02202">
      <w:rPr>
        <w:rFonts w:ascii="Nirmala UI Semilight" w:eastAsia="Nirmala UI Semilight" w:hAnsi="Nirmala UI Semilight" w:cs="Nirmala UI Semilight"/>
        <w:bCs/>
        <w:color w:val="000000"/>
        <w:position w:val="-1"/>
        <w:sz w:val="18"/>
        <w:szCs w:val="18"/>
      </w:rPr>
      <w:t xml:space="preserve"> admin@ijrfb.com</w:t>
    </w:r>
  </w:p>
  <w:bookmarkEnd w:i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11BF7" w14:textId="77777777" w:rsidR="00AE0330" w:rsidRDefault="00AE0330" w:rsidP="00B51E45">
      <w:pPr>
        <w:spacing w:after="0" w:line="240" w:lineRule="auto"/>
      </w:pPr>
      <w:r>
        <w:separator/>
      </w:r>
    </w:p>
  </w:footnote>
  <w:footnote w:type="continuationSeparator" w:id="0">
    <w:p w14:paraId="3C895260" w14:textId="77777777" w:rsidR="00AE0330" w:rsidRDefault="00AE0330" w:rsidP="00B51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313976"/>
      <w:docPartObj>
        <w:docPartGallery w:val="Page Numbers (Top of Page)"/>
        <w:docPartUnique/>
      </w:docPartObj>
    </w:sdtPr>
    <w:sdtEndPr>
      <w:rPr>
        <w:noProof/>
      </w:rPr>
    </w:sdtEndPr>
    <w:sdtContent>
      <w:p w14:paraId="0E3C6852" w14:textId="77777777" w:rsidR="00A13CC2" w:rsidRDefault="00000000" w:rsidP="008770D9">
        <w:pPr>
          <w:pBdr>
            <w:top w:val="nil"/>
            <w:left w:val="nil"/>
            <w:bottom w:val="nil"/>
            <w:right w:val="nil"/>
            <w:between w:val="nil"/>
          </w:pBdr>
          <w:tabs>
            <w:tab w:val="center" w:pos="4111"/>
            <w:tab w:val="left" w:pos="6804"/>
            <w:tab w:val="right" w:pos="8789"/>
          </w:tabs>
          <w:suppressAutoHyphens/>
          <w:spacing w:after="0" w:line="240" w:lineRule="auto"/>
          <w:ind w:leftChars="-1" w:left="0" w:hangingChars="1" w:hanging="2"/>
          <w:jc w:val="center"/>
          <w:textDirection w:val="btLr"/>
          <w:textAlignment w:val="top"/>
          <w:outlineLvl w:val="0"/>
          <w:rPr>
            <w:rFonts w:ascii="Nirmala UI Semilight" w:eastAsia="Nirmala UI Semilight" w:hAnsi="Nirmala UI Semilight" w:cs="Nirmala UI Semilight"/>
            <w:bCs/>
            <w:color w:val="000000"/>
            <w:position w:val="-1"/>
            <w:sz w:val="18"/>
            <w:szCs w:val="18"/>
          </w:rPr>
        </w:pPr>
        <w:r w:rsidRPr="00E75667">
          <w:rPr>
            <w:rFonts w:ascii="Calibri" w:eastAsia="Calibri" w:hAnsi="Calibri" w:cs="Calibri"/>
            <w:noProof/>
            <w:position w:val="-1"/>
          </w:rPr>
          <w:drawing>
            <wp:anchor distT="0" distB="0" distL="114300" distR="114300" simplePos="0" relativeHeight="251666432" behindDoc="0" locked="0" layoutInCell="1" hidden="0" allowOverlap="1" wp14:anchorId="3658C124" wp14:editId="05F64990">
              <wp:simplePos x="0" y="0"/>
              <wp:positionH relativeFrom="margin">
                <wp:posOffset>3810</wp:posOffset>
              </wp:positionH>
              <wp:positionV relativeFrom="margin">
                <wp:posOffset>-1071083</wp:posOffset>
              </wp:positionV>
              <wp:extent cx="596900" cy="768350"/>
              <wp:effectExtent l="0" t="0" r="0" b="0"/>
              <wp:wrapThrough wrapText="bothSides">
                <wp:wrapPolygon edited="0">
                  <wp:start x="0" y="0"/>
                  <wp:lineTo x="0" y="20886"/>
                  <wp:lineTo x="20681" y="20886"/>
                  <wp:lineTo x="20681" y="0"/>
                  <wp:lineTo x="0" y="0"/>
                </wp:wrapPolygon>
              </wp:wrapThrough>
              <wp:docPr id="10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6900" cy="768350"/>
                      </a:xfrm>
                      <a:prstGeom prst="rect">
                        <a:avLst/>
                      </a:prstGeom>
                      <a:ln/>
                    </pic:spPr>
                  </pic:pic>
                </a:graphicData>
              </a:graphic>
            </wp:anchor>
          </w:drawing>
        </w:r>
        <w:r w:rsidRPr="00E75667">
          <w:rPr>
            <w:rFonts w:ascii="Nirmala UI Semilight" w:eastAsia="Nirmala UI Semilight" w:hAnsi="Nirmala UI Semilight" w:cs="Nirmala UI Semilight"/>
            <w:b/>
            <w:color w:val="000000"/>
            <w:position w:val="-1"/>
            <w:sz w:val="18"/>
            <w:szCs w:val="18"/>
          </w:rPr>
          <w:tab/>
        </w:r>
        <w:r w:rsidRPr="00E75667">
          <w:rPr>
            <w:rFonts w:ascii="Nirmala UI Semilight" w:eastAsia="Nirmala UI Semilight" w:hAnsi="Nirmala UI Semilight" w:cs="Nirmala UI Semilight"/>
            <w:bCs/>
            <w:color w:val="000000"/>
            <w:position w:val="-1"/>
            <w:sz w:val="18"/>
            <w:szCs w:val="18"/>
          </w:rPr>
          <w:t>International Journal of Research on Financial &amp; Business (IJRFB)</w:t>
        </w:r>
        <w:r w:rsidRPr="00E75667">
          <w:rPr>
            <w:rFonts w:ascii="Nirmala UI Semilight" w:eastAsia="Nirmala UI Semilight" w:hAnsi="Nirmala UI Semilight" w:cs="Nirmala UI Semilight"/>
            <w:bCs/>
            <w:color w:val="222222"/>
            <w:position w:val="-1"/>
            <w:sz w:val="18"/>
            <w:szCs w:val="18"/>
            <w:highlight w:val="white"/>
          </w:rPr>
          <w:tab/>
        </w:r>
        <w:r w:rsidRPr="00E75667">
          <w:rPr>
            <w:rFonts w:ascii="Nirmala UI Semilight" w:eastAsia="Nirmala UI Semilight" w:hAnsi="Nirmala UI Semilight" w:cs="Nirmala UI Semilight"/>
            <w:bCs/>
            <w:color w:val="000000"/>
            <w:position w:val="-1"/>
            <w:sz w:val="18"/>
            <w:szCs w:val="18"/>
          </w:rPr>
          <w:t>ISSN: 3046-4609 (Online)</w:t>
        </w:r>
      </w:p>
      <w:p w14:paraId="3E7ADC58" w14:textId="4F901B60" w:rsidR="00A13CC2" w:rsidRDefault="00000000" w:rsidP="008770D9">
        <w:pPr>
          <w:pBdr>
            <w:top w:val="nil"/>
            <w:left w:val="nil"/>
            <w:bottom w:val="nil"/>
            <w:right w:val="nil"/>
            <w:between w:val="nil"/>
          </w:pBdr>
          <w:tabs>
            <w:tab w:val="center" w:pos="4111"/>
            <w:tab w:val="left" w:pos="6663"/>
            <w:tab w:val="right" w:pos="8789"/>
          </w:tabs>
          <w:suppressAutoHyphens/>
          <w:spacing w:after="0" w:line="240" w:lineRule="auto"/>
          <w:ind w:leftChars="-1" w:left="0" w:hangingChars="1" w:hanging="2"/>
          <w:jc w:val="center"/>
          <w:textDirection w:val="btLr"/>
          <w:textAlignment w:val="top"/>
          <w:outlineLvl w:val="0"/>
          <w:rPr>
            <w:rFonts w:ascii="Nirmala UI Semilight" w:eastAsia="Nirmala UI Semilight" w:hAnsi="Nirmala UI Semilight" w:cs="Nirmala UI Semilight"/>
            <w:b/>
            <w:color w:val="000000"/>
            <w:position w:val="-1"/>
            <w:sz w:val="18"/>
            <w:szCs w:val="18"/>
          </w:rPr>
        </w:pPr>
        <w:r w:rsidRPr="00E75667">
          <w:rPr>
            <w:rFonts w:ascii="Nirmala UI Semilight" w:eastAsia="Nirmala UI Semilight" w:hAnsi="Nirmala UI Semilight" w:cs="Nirmala UI Semilight"/>
            <w:bCs/>
            <w:color w:val="000000"/>
            <w:position w:val="-1"/>
            <w:sz w:val="18"/>
            <w:szCs w:val="18"/>
          </w:rPr>
          <w:tab/>
          <w:t xml:space="preserve">Vol </w:t>
        </w:r>
        <w:r w:rsidR="008770D9">
          <w:rPr>
            <w:rFonts w:ascii="Nirmala UI Semilight" w:eastAsia="Nirmala UI Semilight" w:hAnsi="Nirmala UI Semilight" w:cs="Nirmala UI Semilight"/>
            <w:bCs/>
            <w:color w:val="000000"/>
            <w:position w:val="-1"/>
            <w:sz w:val="18"/>
            <w:szCs w:val="18"/>
          </w:rPr>
          <w:t>6</w:t>
        </w:r>
        <w:r w:rsidRPr="00E75667">
          <w:rPr>
            <w:rFonts w:ascii="Nirmala UI Semilight" w:eastAsia="Nirmala UI Semilight" w:hAnsi="Nirmala UI Semilight" w:cs="Nirmala UI Semilight"/>
            <w:bCs/>
            <w:color w:val="000000"/>
            <w:position w:val="-1"/>
            <w:sz w:val="18"/>
            <w:szCs w:val="18"/>
          </w:rPr>
          <w:t xml:space="preserve">, No </w:t>
        </w:r>
        <w:r w:rsidR="008770D9">
          <w:rPr>
            <w:rFonts w:ascii="Nirmala UI Semilight" w:eastAsia="Nirmala UI Semilight" w:hAnsi="Nirmala UI Semilight" w:cs="Nirmala UI Semilight"/>
            <w:bCs/>
            <w:color w:val="000000"/>
            <w:position w:val="-1"/>
            <w:sz w:val="18"/>
            <w:szCs w:val="18"/>
          </w:rPr>
          <w:t>1</w:t>
        </w:r>
        <w:r w:rsidRPr="00E75667">
          <w:rPr>
            <w:rFonts w:ascii="Nirmala UI Semilight" w:eastAsia="Nirmala UI Semilight" w:hAnsi="Nirmala UI Semilight" w:cs="Nirmala UI Semilight"/>
            <w:bCs/>
            <w:color w:val="000000"/>
            <w:position w:val="-1"/>
            <w:sz w:val="18"/>
            <w:szCs w:val="18"/>
          </w:rPr>
          <w:t xml:space="preserve">, </w:t>
        </w:r>
        <w:r w:rsidR="008770D9">
          <w:rPr>
            <w:rFonts w:ascii="Nirmala UI Semilight" w:eastAsia="Nirmala UI Semilight" w:hAnsi="Nirmala UI Semilight" w:cs="Nirmala UI Semilight"/>
            <w:bCs/>
            <w:color w:val="000000"/>
            <w:position w:val="-1"/>
            <w:sz w:val="18"/>
            <w:szCs w:val="18"/>
          </w:rPr>
          <w:t>September</w:t>
        </w:r>
        <w:r w:rsidRPr="00E75667">
          <w:rPr>
            <w:rFonts w:ascii="Nirmala UI Semilight" w:eastAsia="Nirmala UI Semilight" w:hAnsi="Nirmala UI Semilight" w:cs="Nirmala UI Semilight"/>
            <w:bCs/>
            <w:color w:val="000000"/>
            <w:position w:val="-1"/>
            <w:sz w:val="18"/>
            <w:szCs w:val="18"/>
          </w:rPr>
          <w:t xml:space="preserve"> 202</w:t>
        </w:r>
        <w:r w:rsidR="008770D9">
          <w:rPr>
            <w:rFonts w:ascii="Nirmala UI Semilight" w:eastAsia="Nirmala UI Semilight" w:hAnsi="Nirmala UI Semilight" w:cs="Nirmala UI Semilight"/>
            <w:bCs/>
            <w:color w:val="000000"/>
            <w:position w:val="-1"/>
            <w:sz w:val="18"/>
            <w:szCs w:val="18"/>
          </w:rPr>
          <w:t>5</w:t>
        </w:r>
        <w:r w:rsidRPr="00E75667">
          <w:rPr>
            <w:rFonts w:ascii="Nirmala UI Semilight" w:eastAsia="Nirmala UI Semilight" w:hAnsi="Nirmala UI Semilight" w:cs="Nirmala UI Semilight"/>
            <w:bCs/>
            <w:color w:val="000000"/>
            <w:position w:val="-1"/>
            <w:sz w:val="18"/>
            <w:szCs w:val="18"/>
          </w:rPr>
          <w:t>, pp. 1-</w:t>
        </w:r>
        <w:r w:rsidR="00625D3C">
          <w:rPr>
            <w:rFonts w:ascii="Nirmala UI Semilight" w:eastAsia="Nirmala UI Semilight" w:hAnsi="Nirmala UI Semilight" w:cs="Nirmala UI Semilight"/>
            <w:bCs/>
            <w:color w:val="000000"/>
            <w:position w:val="-1"/>
            <w:sz w:val="18"/>
            <w:szCs w:val="18"/>
          </w:rPr>
          <w:t>1</w:t>
        </w:r>
        <w:r w:rsidRPr="00E75667">
          <w:rPr>
            <w:rFonts w:ascii="Nirmala UI Semilight" w:eastAsia="Nirmala UI Semilight" w:hAnsi="Nirmala UI Semilight" w:cs="Nirmala UI Semilight"/>
            <w:bCs/>
            <w:color w:val="000000"/>
            <w:position w:val="-1"/>
            <w:sz w:val="18"/>
            <w:szCs w:val="18"/>
          </w:rPr>
          <w:t>3</w:t>
        </w:r>
        <w:r w:rsidR="008770D9">
          <w:rPr>
            <w:rFonts w:ascii="Nirmala UI Semilight" w:eastAsia="Nirmala UI Semilight" w:hAnsi="Nirmala UI Semilight" w:cs="Nirmala UI Semilight"/>
            <w:bCs/>
            <w:color w:val="000000"/>
            <w:position w:val="-1"/>
            <w:sz w:val="18"/>
            <w:szCs w:val="18"/>
          </w:rPr>
          <w:tab/>
        </w:r>
        <w:r w:rsidRPr="00E75667">
          <w:rPr>
            <w:rFonts w:ascii="Nirmala UI Semilight" w:eastAsia="Nirmala UI Semilight" w:hAnsi="Nirmala UI Semilight" w:cs="Nirmala UI Semilight"/>
            <w:bCs/>
            <w:color w:val="000000"/>
            <w:position w:val="-1"/>
            <w:sz w:val="18"/>
            <w:szCs w:val="18"/>
          </w:rPr>
          <w:t>ISSN: 3032-7806 (Print)</w:t>
        </w:r>
      </w:p>
      <w:p w14:paraId="0A63EB8C" w14:textId="77777777" w:rsidR="00A13CC2" w:rsidRDefault="00000000">
        <w:pPr>
          <w:pStyle w:val="Header"/>
          <w:spacing w:before="120" w:after="120"/>
          <w:ind w:left="0" w:firstLine="0"/>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0424" w14:textId="77777777" w:rsidR="00A13CC2" w:rsidRDefault="00000000" w:rsidP="008770D9">
    <w:pPr>
      <w:pBdr>
        <w:top w:val="nil"/>
        <w:left w:val="nil"/>
        <w:bottom w:val="nil"/>
        <w:right w:val="nil"/>
        <w:between w:val="nil"/>
      </w:pBdr>
      <w:tabs>
        <w:tab w:val="center" w:pos="4111"/>
        <w:tab w:val="left" w:pos="6804"/>
        <w:tab w:val="right" w:pos="8789"/>
      </w:tabs>
      <w:suppressAutoHyphens/>
      <w:spacing w:after="0" w:line="240" w:lineRule="auto"/>
      <w:ind w:leftChars="-1" w:left="0" w:hangingChars="1" w:hanging="2"/>
      <w:jc w:val="center"/>
      <w:textDirection w:val="btLr"/>
      <w:textAlignment w:val="top"/>
      <w:outlineLvl w:val="0"/>
      <w:rPr>
        <w:rFonts w:ascii="Nirmala UI Semilight" w:eastAsia="Nirmala UI Semilight" w:hAnsi="Nirmala UI Semilight" w:cs="Nirmala UI Semilight"/>
        <w:bCs/>
        <w:color w:val="000000"/>
        <w:position w:val="-1"/>
        <w:sz w:val="18"/>
        <w:szCs w:val="18"/>
      </w:rPr>
    </w:pPr>
    <w:r w:rsidRPr="00E75667">
      <w:rPr>
        <w:rFonts w:ascii="Calibri" w:eastAsia="Calibri" w:hAnsi="Calibri" w:cs="Calibri"/>
        <w:noProof/>
        <w:position w:val="-1"/>
      </w:rPr>
      <w:drawing>
        <wp:anchor distT="0" distB="0" distL="114300" distR="114300" simplePos="0" relativeHeight="251664384" behindDoc="0" locked="0" layoutInCell="1" hidden="0" allowOverlap="1" wp14:anchorId="5470D7BA" wp14:editId="0810E02D">
          <wp:simplePos x="0" y="0"/>
          <wp:positionH relativeFrom="margin">
            <wp:posOffset>3810</wp:posOffset>
          </wp:positionH>
          <wp:positionV relativeFrom="margin">
            <wp:posOffset>-1068867</wp:posOffset>
          </wp:positionV>
          <wp:extent cx="596900" cy="768350"/>
          <wp:effectExtent l="0" t="0" r="0" b="0"/>
          <wp:wrapThrough wrapText="bothSides">
            <wp:wrapPolygon edited="0">
              <wp:start x="0" y="0"/>
              <wp:lineTo x="0" y="20886"/>
              <wp:lineTo x="20681" y="20886"/>
              <wp:lineTo x="20681" y="0"/>
              <wp:lineTo x="0" y="0"/>
            </wp:wrapPolygon>
          </wp:wrapThrough>
          <wp:docPr id="10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6900" cy="768350"/>
                  </a:xfrm>
                  <a:prstGeom prst="rect">
                    <a:avLst/>
                  </a:prstGeom>
                  <a:ln/>
                </pic:spPr>
              </pic:pic>
            </a:graphicData>
          </a:graphic>
        </wp:anchor>
      </w:drawing>
    </w:r>
    <w:r w:rsidRPr="00E75667">
      <w:rPr>
        <w:rFonts w:ascii="Nirmala UI Semilight" w:eastAsia="Nirmala UI Semilight" w:hAnsi="Nirmala UI Semilight" w:cs="Nirmala UI Semilight"/>
        <w:b/>
        <w:color w:val="000000"/>
        <w:position w:val="-1"/>
        <w:sz w:val="18"/>
        <w:szCs w:val="18"/>
      </w:rPr>
      <w:tab/>
    </w:r>
    <w:r w:rsidRPr="00E75667">
      <w:rPr>
        <w:rFonts w:ascii="Nirmala UI Semilight" w:eastAsia="Nirmala UI Semilight" w:hAnsi="Nirmala UI Semilight" w:cs="Nirmala UI Semilight"/>
        <w:bCs/>
        <w:color w:val="000000"/>
        <w:position w:val="-1"/>
        <w:sz w:val="18"/>
        <w:szCs w:val="18"/>
      </w:rPr>
      <w:t>International Journal of Research on Financial &amp; Business (IJRFB)</w:t>
    </w:r>
    <w:r w:rsidRPr="00E75667">
      <w:rPr>
        <w:rFonts w:ascii="Nirmala UI Semilight" w:eastAsia="Nirmala UI Semilight" w:hAnsi="Nirmala UI Semilight" w:cs="Nirmala UI Semilight"/>
        <w:bCs/>
        <w:color w:val="222222"/>
        <w:position w:val="-1"/>
        <w:sz w:val="18"/>
        <w:szCs w:val="18"/>
        <w:highlight w:val="white"/>
      </w:rPr>
      <w:tab/>
    </w:r>
    <w:r w:rsidRPr="00E75667">
      <w:rPr>
        <w:rFonts w:ascii="Nirmala UI Semilight" w:eastAsia="Nirmala UI Semilight" w:hAnsi="Nirmala UI Semilight" w:cs="Nirmala UI Semilight"/>
        <w:bCs/>
        <w:color w:val="000000"/>
        <w:position w:val="-1"/>
        <w:sz w:val="18"/>
        <w:szCs w:val="18"/>
      </w:rPr>
      <w:t>ISSN: 3046-4609 (Online)</w:t>
    </w:r>
  </w:p>
  <w:p w14:paraId="4762BB75" w14:textId="2B924EDB" w:rsidR="00A13CC2" w:rsidRDefault="008770D9" w:rsidP="008770D9">
    <w:pPr>
      <w:pBdr>
        <w:top w:val="nil"/>
        <w:left w:val="nil"/>
        <w:bottom w:val="nil"/>
        <w:right w:val="nil"/>
        <w:between w:val="nil"/>
      </w:pBdr>
      <w:tabs>
        <w:tab w:val="center" w:pos="4111"/>
        <w:tab w:val="left" w:pos="6663"/>
        <w:tab w:val="right" w:pos="8789"/>
      </w:tabs>
      <w:suppressAutoHyphens/>
      <w:spacing w:after="0" w:line="240" w:lineRule="auto"/>
      <w:ind w:leftChars="-1" w:left="0" w:hangingChars="1" w:hanging="2"/>
      <w:jc w:val="center"/>
      <w:textDirection w:val="btLr"/>
      <w:textAlignment w:val="top"/>
      <w:outlineLvl w:val="0"/>
      <w:rPr>
        <w:rFonts w:ascii="Nirmala UI Semilight" w:eastAsia="Nirmala UI Semilight" w:hAnsi="Nirmala UI Semilight" w:cs="Nirmala UI Semilight"/>
        <w:b/>
        <w:color w:val="000000"/>
        <w:position w:val="-1"/>
        <w:sz w:val="18"/>
        <w:szCs w:val="18"/>
      </w:rPr>
    </w:pPr>
    <w:r>
      <w:rPr>
        <w:rFonts w:ascii="Nirmala UI Semilight" w:eastAsia="Nirmala UI Semilight" w:hAnsi="Nirmala UI Semilight" w:cs="Nirmala UI Semilight"/>
        <w:bCs/>
        <w:color w:val="000000"/>
        <w:position w:val="-1"/>
        <w:sz w:val="18"/>
        <w:szCs w:val="18"/>
      </w:rPr>
      <w:tab/>
    </w:r>
    <w:r w:rsidRPr="00E75667">
      <w:rPr>
        <w:rFonts w:ascii="Nirmala UI Semilight" w:eastAsia="Nirmala UI Semilight" w:hAnsi="Nirmala UI Semilight" w:cs="Nirmala UI Semilight"/>
        <w:bCs/>
        <w:color w:val="000000"/>
        <w:position w:val="-1"/>
        <w:sz w:val="18"/>
        <w:szCs w:val="18"/>
      </w:rPr>
      <w:t>Vol</w:t>
    </w:r>
    <w:r>
      <w:rPr>
        <w:rFonts w:ascii="Nirmala UI Semilight" w:eastAsia="Nirmala UI Semilight" w:hAnsi="Nirmala UI Semilight" w:cs="Nirmala UI Semilight"/>
        <w:bCs/>
        <w:color w:val="000000"/>
        <w:position w:val="-1"/>
        <w:sz w:val="18"/>
        <w:szCs w:val="18"/>
      </w:rPr>
      <w:t xml:space="preserve"> 6</w:t>
    </w:r>
    <w:r w:rsidRPr="00E75667">
      <w:rPr>
        <w:rFonts w:ascii="Nirmala UI Semilight" w:eastAsia="Nirmala UI Semilight" w:hAnsi="Nirmala UI Semilight" w:cs="Nirmala UI Semilight"/>
        <w:bCs/>
        <w:color w:val="000000"/>
        <w:position w:val="-1"/>
        <w:sz w:val="18"/>
        <w:szCs w:val="18"/>
      </w:rPr>
      <w:t xml:space="preserve">, No </w:t>
    </w:r>
    <w:r>
      <w:rPr>
        <w:rFonts w:ascii="Nirmala UI Semilight" w:eastAsia="Nirmala UI Semilight" w:hAnsi="Nirmala UI Semilight" w:cs="Nirmala UI Semilight"/>
        <w:bCs/>
        <w:color w:val="000000"/>
        <w:position w:val="-1"/>
        <w:sz w:val="18"/>
        <w:szCs w:val="18"/>
      </w:rPr>
      <w:t>1</w:t>
    </w:r>
    <w:r w:rsidRPr="00E75667">
      <w:rPr>
        <w:rFonts w:ascii="Nirmala UI Semilight" w:eastAsia="Nirmala UI Semilight" w:hAnsi="Nirmala UI Semilight" w:cs="Nirmala UI Semilight"/>
        <w:bCs/>
        <w:color w:val="000000"/>
        <w:position w:val="-1"/>
        <w:sz w:val="18"/>
        <w:szCs w:val="18"/>
      </w:rPr>
      <w:t xml:space="preserve">, </w:t>
    </w:r>
    <w:r>
      <w:rPr>
        <w:rFonts w:ascii="Nirmala UI Semilight" w:eastAsia="Nirmala UI Semilight" w:hAnsi="Nirmala UI Semilight" w:cs="Nirmala UI Semilight"/>
        <w:bCs/>
        <w:color w:val="000000"/>
        <w:position w:val="-1"/>
        <w:sz w:val="18"/>
        <w:szCs w:val="18"/>
      </w:rPr>
      <w:t>September</w:t>
    </w:r>
    <w:r w:rsidRPr="00E75667">
      <w:rPr>
        <w:rFonts w:ascii="Nirmala UI Semilight" w:eastAsia="Nirmala UI Semilight" w:hAnsi="Nirmala UI Semilight" w:cs="Nirmala UI Semilight"/>
        <w:bCs/>
        <w:color w:val="000000"/>
        <w:position w:val="-1"/>
        <w:sz w:val="18"/>
        <w:szCs w:val="18"/>
      </w:rPr>
      <w:t xml:space="preserve"> 202</w:t>
    </w:r>
    <w:r>
      <w:rPr>
        <w:rFonts w:ascii="Nirmala UI Semilight" w:eastAsia="Nirmala UI Semilight" w:hAnsi="Nirmala UI Semilight" w:cs="Nirmala UI Semilight"/>
        <w:bCs/>
        <w:color w:val="000000"/>
        <w:position w:val="-1"/>
        <w:sz w:val="18"/>
        <w:szCs w:val="18"/>
      </w:rPr>
      <w:t>5</w:t>
    </w:r>
    <w:r w:rsidRPr="00E75667">
      <w:rPr>
        <w:rFonts w:ascii="Nirmala UI Semilight" w:eastAsia="Nirmala UI Semilight" w:hAnsi="Nirmala UI Semilight" w:cs="Nirmala UI Semilight"/>
        <w:bCs/>
        <w:color w:val="000000"/>
        <w:position w:val="-1"/>
        <w:sz w:val="18"/>
        <w:szCs w:val="18"/>
      </w:rPr>
      <w:t>, pp. 1-</w:t>
    </w:r>
    <w:r>
      <w:rPr>
        <w:rFonts w:ascii="Nirmala UI Semilight" w:eastAsia="Nirmala UI Semilight" w:hAnsi="Nirmala UI Semilight" w:cs="Nirmala UI Semilight"/>
        <w:bCs/>
        <w:color w:val="000000"/>
        <w:position w:val="-1"/>
        <w:sz w:val="18"/>
        <w:szCs w:val="18"/>
      </w:rPr>
      <w:t>1</w:t>
    </w:r>
    <w:r w:rsidRPr="00E75667">
      <w:rPr>
        <w:rFonts w:ascii="Nirmala UI Semilight" w:eastAsia="Nirmala UI Semilight" w:hAnsi="Nirmala UI Semilight" w:cs="Nirmala UI Semilight"/>
        <w:bCs/>
        <w:color w:val="000000"/>
        <w:position w:val="-1"/>
        <w:sz w:val="18"/>
        <w:szCs w:val="18"/>
      </w:rPr>
      <w:t>3</w:t>
    </w:r>
    <w:r>
      <w:rPr>
        <w:rFonts w:ascii="Nirmala UI Semilight" w:eastAsia="Nirmala UI Semilight" w:hAnsi="Nirmala UI Semilight" w:cs="Nirmala UI Semilight"/>
        <w:bCs/>
        <w:color w:val="000000"/>
        <w:position w:val="-1"/>
        <w:sz w:val="18"/>
        <w:szCs w:val="18"/>
      </w:rPr>
      <w:tab/>
    </w:r>
    <w:r w:rsidRPr="00E75667">
      <w:rPr>
        <w:rFonts w:ascii="Nirmala UI Semilight" w:eastAsia="Nirmala UI Semilight" w:hAnsi="Nirmala UI Semilight" w:cs="Nirmala UI Semilight"/>
        <w:bCs/>
        <w:color w:val="000000"/>
        <w:position w:val="-1"/>
        <w:sz w:val="18"/>
        <w:szCs w:val="18"/>
      </w:rPr>
      <w:t>ISSN: 3032-7806 (Print)</w:t>
    </w:r>
  </w:p>
  <w:p w14:paraId="31BE644D" w14:textId="77777777" w:rsidR="00C4579D" w:rsidRDefault="00C4579D" w:rsidP="00C4579D">
    <w:pPr>
      <w:pBdr>
        <w:top w:val="nil"/>
        <w:left w:val="nil"/>
        <w:bottom w:val="nil"/>
        <w:right w:val="nil"/>
        <w:between w:val="nil"/>
      </w:pBdr>
      <w:tabs>
        <w:tab w:val="center" w:pos="4111"/>
        <w:tab w:val="left" w:pos="6946"/>
        <w:tab w:val="right" w:pos="8789"/>
      </w:tabs>
      <w:suppressAutoHyphens/>
      <w:spacing w:after="0" w:line="240" w:lineRule="auto"/>
      <w:ind w:leftChars="-1" w:left="0" w:hangingChars="1" w:hanging="2"/>
      <w:jc w:val="center"/>
      <w:textDirection w:val="btLr"/>
      <w:textAlignment w:val="top"/>
      <w:outlineLvl w:val="0"/>
      <w:rPr>
        <w:rFonts w:ascii="Nirmala UI Semilight" w:eastAsia="Nirmala UI Semilight" w:hAnsi="Nirmala UI Semilight" w:cs="Nirmala UI Semilight"/>
        <w:b/>
        <w:color w:val="000000"/>
        <w:position w:val="-1"/>
        <w:sz w:val="18"/>
        <w:szCs w:val="18"/>
      </w:rPr>
    </w:pPr>
  </w:p>
  <w:sdt>
    <w:sdtPr>
      <w:id w:val="-1359893554"/>
      <w:docPartObj>
        <w:docPartGallery w:val="Page Numbers (Top of Page)"/>
        <w:docPartUnique/>
      </w:docPartObj>
    </w:sdtPr>
    <w:sdtEndPr>
      <w:rPr>
        <w:noProof/>
      </w:rPr>
    </w:sdtEndPr>
    <w:sdtContent>
      <w:p w14:paraId="701AADEB" w14:textId="77777777" w:rsidR="00A13CC2" w:rsidRDefault="00000000">
        <w:pPr>
          <w:pStyle w:val="Header"/>
          <w:spacing w:before="120" w:after="120"/>
          <w:ind w:left="0" w:firstLine="0"/>
          <w:jc w:val="center"/>
          <w:rPr>
            <w:noProof/>
          </w:rP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B2AAB"/>
    <w:multiLevelType w:val="multilevel"/>
    <w:tmpl w:val="2070D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B90B4A"/>
    <w:multiLevelType w:val="hybridMultilevel"/>
    <w:tmpl w:val="766A6608"/>
    <w:lvl w:ilvl="0" w:tplc="3E221D96">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15:restartNumberingAfterBreak="0">
    <w:nsid w:val="0FCB240D"/>
    <w:multiLevelType w:val="hybridMultilevel"/>
    <w:tmpl w:val="4B04574A"/>
    <w:lvl w:ilvl="0" w:tplc="1938E720">
      <w:start w:val="1"/>
      <w:numFmt w:val="upperLetter"/>
      <w:lvlText w:val="%1."/>
      <w:lvlJc w:val="left"/>
      <w:pPr>
        <w:ind w:left="720" w:hanging="360"/>
      </w:pPr>
      <w:rPr>
        <w:rFonts w:ascii="Nirmala UI Semilight" w:hAnsi="Nirmala UI Semilight" w:cs="Nirmala UI Semilight" w:hint="default"/>
        <w:i/>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F27F6"/>
    <w:multiLevelType w:val="hybridMultilevel"/>
    <w:tmpl w:val="11EAC616"/>
    <w:lvl w:ilvl="0" w:tplc="D39EDF88">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62181"/>
    <w:multiLevelType w:val="hybridMultilevel"/>
    <w:tmpl w:val="21180A9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182A2966"/>
    <w:multiLevelType w:val="hybridMultilevel"/>
    <w:tmpl w:val="2054A97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CB32F10"/>
    <w:multiLevelType w:val="hybridMultilevel"/>
    <w:tmpl w:val="5E288FAA"/>
    <w:lvl w:ilvl="0" w:tplc="410E42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0B55BF"/>
    <w:multiLevelType w:val="hybridMultilevel"/>
    <w:tmpl w:val="96D043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481244"/>
    <w:multiLevelType w:val="hybridMultilevel"/>
    <w:tmpl w:val="E768014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26E72F11"/>
    <w:multiLevelType w:val="hybridMultilevel"/>
    <w:tmpl w:val="E8A6C0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8225E57"/>
    <w:multiLevelType w:val="hybridMultilevel"/>
    <w:tmpl w:val="69B49F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92C35C3"/>
    <w:multiLevelType w:val="hybridMultilevel"/>
    <w:tmpl w:val="EB50DA7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BB57D68"/>
    <w:multiLevelType w:val="hybridMultilevel"/>
    <w:tmpl w:val="B00E919A"/>
    <w:lvl w:ilvl="0" w:tplc="AB9C0BCA">
      <w:start w:val="1"/>
      <w:numFmt w:val="upperRoman"/>
      <w:lvlText w:val="%1."/>
      <w:lvlJc w:val="left"/>
      <w:pPr>
        <w:ind w:left="1080" w:hanging="720"/>
      </w:pPr>
      <w:rPr>
        <w:rFonts w:ascii="Nirmala UI Semilight" w:hAnsi="Nirmala UI Semilight" w:cs="Nirmala UI Semilight"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4263B0"/>
    <w:multiLevelType w:val="hybridMultilevel"/>
    <w:tmpl w:val="4D0C4296"/>
    <w:lvl w:ilvl="0" w:tplc="F1841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0C4512"/>
    <w:multiLevelType w:val="hybridMultilevel"/>
    <w:tmpl w:val="24FE9D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7783E9A"/>
    <w:multiLevelType w:val="hybridMultilevel"/>
    <w:tmpl w:val="2EAE46DE"/>
    <w:lvl w:ilvl="0" w:tplc="C48A6B1A">
      <w:start w:val="1"/>
      <w:numFmt w:val="decimal"/>
      <w:lvlText w:val="%1."/>
      <w:lvlJc w:val="left"/>
      <w:pPr>
        <w:ind w:left="720" w:hanging="360"/>
      </w:pPr>
      <w:rPr>
        <w:rFonts w:ascii="Nirmala UI Semilight" w:hAnsi="Nirmala UI Semilight" w:cs="Nirmala UI Semilight"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2C7E86"/>
    <w:multiLevelType w:val="hybridMultilevel"/>
    <w:tmpl w:val="023CF0A4"/>
    <w:lvl w:ilvl="0" w:tplc="6B425D12">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7" w15:restartNumberingAfterBreak="0">
    <w:nsid w:val="3AD66CAE"/>
    <w:multiLevelType w:val="hybridMultilevel"/>
    <w:tmpl w:val="5846011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40EF5819"/>
    <w:multiLevelType w:val="hybridMultilevel"/>
    <w:tmpl w:val="2200BBD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435F508A"/>
    <w:multiLevelType w:val="hybridMultilevel"/>
    <w:tmpl w:val="687E0CF8"/>
    <w:lvl w:ilvl="0" w:tplc="FDA8BB00">
      <w:start w:val="1"/>
      <w:numFmt w:val="decimal"/>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6716EB"/>
    <w:multiLevelType w:val="hybridMultilevel"/>
    <w:tmpl w:val="98905E48"/>
    <w:lvl w:ilvl="0" w:tplc="59AC8C5E">
      <w:start w:val="1"/>
      <w:numFmt w:val="decimal"/>
      <w:lvlText w:val="%1."/>
      <w:lvlJc w:val="left"/>
      <w:pPr>
        <w:ind w:left="842" w:hanging="360"/>
      </w:pPr>
      <w:rPr>
        <w:rFonts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21" w15:restartNumberingAfterBreak="0">
    <w:nsid w:val="46BC6501"/>
    <w:multiLevelType w:val="hybridMultilevel"/>
    <w:tmpl w:val="0B08869E"/>
    <w:lvl w:ilvl="0" w:tplc="7D162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996B85"/>
    <w:multiLevelType w:val="hybridMultilevel"/>
    <w:tmpl w:val="FEE2F27C"/>
    <w:lvl w:ilvl="0" w:tplc="28A81482">
      <w:start w:val="1"/>
      <w:numFmt w:val="upperLetter"/>
      <w:lvlText w:val="%1."/>
      <w:lvlJc w:val="left"/>
      <w:pPr>
        <w:ind w:left="720" w:hanging="360"/>
      </w:pPr>
      <w:rPr>
        <w:rFonts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760958"/>
    <w:multiLevelType w:val="hybridMultilevel"/>
    <w:tmpl w:val="369A3B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A81516"/>
    <w:multiLevelType w:val="hybridMultilevel"/>
    <w:tmpl w:val="E50455C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CCC6701"/>
    <w:multiLevelType w:val="hybridMultilevel"/>
    <w:tmpl w:val="D63077E4"/>
    <w:lvl w:ilvl="0" w:tplc="642C5060">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6" w15:restartNumberingAfterBreak="0">
    <w:nsid w:val="504B023B"/>
    <w:multiLevelType w:val="hybridMultilevel"/>
    <w:tmpl w:val="787804DE"/>
    <w:lvl w:ilvl="0" w:tplc="04090015">
      <w:start w:val="1"/>
      <w:numFmt w:val="upperLetter"/>
      <w:lvlText w:val="%1."/>
      <w:lvlJc w:val="left"/>
      <w:pPr>
        <w:ind w:left="1760" w:hanging="360"/>
      </w:p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27" w15:restartNumberingAfterBreak="0">
    <w:nsid w:val="521A69FA"/>
    <w:multiLevelType w:val="hybridMultilevel"/>
    <w:tmpl w:val="C0CA9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941611"/>
    <w:multiLevelType w:val="hybridMultilevel"/>
    <w:tmpl w:val="79645AE8"/>
    <w:lvl w:ilvl="0" w:tplc="A1723CA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E72ADE"/>
    <w:multiLevelType w:val="multilevel"/>
    <w:tmpl w:val="1534C274"/>
    <w:lvl w:ilvl="0">
      <w:start w:val="1"/>
      <w:numFmt w:val="upperRoman"/>
      <w:lvlText w:val="%1."/>
      <w:lvlJc w:val="right"/>
      <w:pPr>
        <w:ind w:left="720" w:hanging="360"/>
      </w:pPr>
      <w:rPr>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77E3898"/>
    <w:multiLevelType w:val="hybridMultilevel"/>
    <w:tmpl w:val="C8B451D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5A9306DB"/>
    <w:multiLevelType w:val="hybridMultilevel"/>
    <w:tmpl w:val="BDB44E96"/>
    <w:lvl w:ilvl="0" w:tplc="E59043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780608"/>
    <w:multiLevelType w:val="hybridMultilevel"/>
    <w:tmpl w:val="3A46D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CE38AD"/>
    <w:multiLevelType w:val="hybridMultilevel"/>
    <w:tmpl w:val="0792DC78"/>
    <w:lvl w:ilvl="0" w:tplc="8BEA09AA">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A84528"/>
    <w:multiLevelType w:val="hybridMultilevel"/>
    <w:tmpl w:val="528AF140"/>
    <w:lvl w:ilvl="0" w:tplc="365488A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934469"/>
    <w:multiLevelType w:val="hybridMultilevel"/>
    <w:tmpl w:val="477EFC82"/>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E613F9C"/>
    <w:multiLevelType w:val="hybridMultilevel"/>
    <w:tmpl w:val="F93C24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8A2163"/>
    <w:multiLevelType w:val="hybridMultilevel"/>
    <w:tmpl w:val="14CC1F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0AC3F51"/>
    <w:multiLevelType w:val="hybridMultilevel"/>
    <w:tmpl w:val="DE389DD0"/>
    <w:lvl w:ilvl="0" w:tplc="B9267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3A5B9C"/>
    <w:multiLevelType w:val="hybridMultilevel"/>
    <w:tmpl w:val="09A8B97A"/>
    <w:lvl w:ilvl="0" w:tplc="28C6A496">
      <w:start w:val="1"/>
      <w:numFmt w:val="upperLetter"/>
      <w:lvlText w:val="%1."/>
      <w:lvlJc w:val="left"/>
      <w:pPr>
        <w:ind w:left="1080" w:hanging="360"/>
      </w:pPr>
      <w:rPr>
        <w:rFonts w:hint="default"/>
        <w:b w:val="0"/>
        <w:bCs w:val="0"/>
      </w:rPr>
    </w:lvl>
    <w:lvl w:ilvl="1" w:tplc="0409000F">
      <w:start w:val="1"/>
      <w:numFmt w:val="decimal"/>
      <w:lvlText w:val="%2."/>
      <w:lvlJc w:val="left"/>
      <w:pPr>
        <w:ind w:left="72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33C0BB0"/>
    <w:multiLevelType w:val="hybridMultilevel"/>
    <w:tmpl w:val="1204A3B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1" w15:restartNumberingAfterBreak="0">
    <w:nsid w:val="7B023C47"/>
    <w:multiLevelType w:val="hybridMultilevel"/>
    <w:tmpl w:val="82C40448"/>
    <w:lvl w:ilvl="0" w:tplc="BD8C55E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42" w15:restartNumberingAfterBreak="0">
    <w:nsid w:val="7B4D7F1A"/>
    <w:multiLevelType w:val="hybridMultilevel"/>
    <w:tmpl w:val="2110B5A8"/>
    <w:lvl w:ilvl="0" w:tplc="57501020">
      <w:start w:val="5"/>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BBD45DF"/>
    <w:multiLevelType w:val="hybridMultilevel"/>
    <w:tmpl w:val="72687086"/>
    <w:lvl w:ilvl="0" w:tplc="04090015">
      <w:start w:val="1"/>
      <w:numFmt w:val="upperLetter"/>
      <w:lvlText w:val="%1."/>
      <w:lvlJc w:val="left"/>
      <w:pPr>
        <w:ind w:left="1760" w:hanging="360"/>
      </w:p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44" w15:restartNumberingAfterBreak="0">
    <w:nsid w:val="7D6F5DE7"/>
    <w:multiLevelType w:val="hybridMultilevel"/>
    <w:tmpl w:val="6526DA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EE45764"/>
    <w:multiLevelType w:val="hybridMultilevel"/>
    <w:tmpl w:val="2054A972"/>
    <w:lvl w:ilvl="0" w:tplc="C0503336">
      <w:start w:val="1"/>
      <w:numFmt w:val="decimal"/>
      <w:lvlText w:val="%1."/>
      <w:lvlJc w:val="left"/>
      <w:pPr>
        <w:ind w:left="700" w:hanging="360"/>
      </w:pPr>
      <w:rPr>
        <w:rFonts w:hint="default"/>
      </w:rPr>
    </w:lvl>
    <w:lvl w:ilvl="1" w:tplc="38090019" w:tentative="1">
      <w:start w:val="1"/>
      <w:numFmt w:val="lowerLetter"/>
      <w:lvlText w:val="%2."/>
      <w:lvlJc w:val="left"/>
      <w:pPr>
        <w:ind w:left="1420" w:hanging="360"/>
      </w:pPr>
    </w:lvl>
    <w:lvl w:ilvl="2" w:tplc="3809001B" w:tentative="1">
      <w:start w:val="1"/>
      <w:numFmt w:val="lowerRoman"/>
      <w:lvlText w:val="%3."/>
      <w:lvlJc w:val="right"/>
      <w:pPr>
        <w:ind w:left="2140" w:hanging="180"/>
      </w:pPr>
    </w:lvl>
    <w:lvl w:ilvl="3" w:tplc="3809000F" w:tentative="1">
      <w:start w:val="1"/>
      <w:numFmt w:val="decimal"/>
      <w:lvlText w:val="%4."/>
      <w:lvlJc w:val="left"/>
      <w:pPr>
        <w:ind w:left="2860" w:hanging="360"/>
      </w:pPr>
    </w:lvl>
    <w:lvl w:ilvl="4" w:tplc="38090019" w:tentative="1">
      <w:start w:val="1"/>
      <w:numFmt w:val="lowerLetter"/>
      <w:lvlText w:val="%5."/>
      <w:lvlJc w:val="left"/>
      <w:pPr>
        <w:ind w:left="3580" w:hanging="360"/>
      </w:pPr>
    </w:lvl>
    <w:lvl w:ilvl="5" w:tplc="3809001B" w:tentative="1">
      <w:start w:val="1"/>
      <w:numFmt w:val="lowerRoman"/>
      <w:lvlText w:val="%6."/>
      <w:lvlJc w:val="right"/>
      <w:pPr>
        <w:ind w:left="4300" w:hanging="180"/>
      </w:pPr>
    </w:lvl>
    <w:lvl w:ilvl="6" w:tplc="3809000F" w:tentative="1">
      <w:start w:val="1"/>
      <w:numFmt w:val="decimal"/>
      <w:lvlText w:val="%7."/>
      <w:lvlJc w:val="left"/>
      <w:pPr>
        <w:ind w:left="5020" w:hanging="360"/>
      </w:pPr>
    </w:lvl>
    <w:lvl w:ilvl="7" w:tplc="38090019" w:tentative="1">
      <w:start w:val="1"/>
      <w:numFmt w:val="lowerLetter"/>
      <w:lvlText w:val="%8."/>
      <w:lvlJc w:val="left"/>
      <w:pPr>
        <w:ind w:left="5740" w:hanging="360"/>
      </w:pPr>
    </w:lvl>
    <w:lvl w:ilvl="8" w:tplc="3809001B" w:tentative="1">
      <w:start w:val="1"/>
      <w:numFmt w:val="lowerRoman"/>
      <w:lvlText w:val="%9."/>
      <w:lvlJc w:val="right"/>
      <w:pPr>
        <w:ind w:left="6460" w:hanging="180"/>
      </w:pPr>
    </w:lvl>
  </w:abstractNum>
  <w:abstractNum w:abstractNumId="46" w15:restartNumberingAfterBreak="0">
    <w:nsid w:val="7FBC2CDD"/>
    <w:multiLevelType w:val="hybridMultilevel"/>
    <w:tmpl w:val="CCD467BA"/>
    <w:lvl w:ilvl="0" w:tplc="AA7028A2">
      <w:start w:val="1"/>
      <w:numFmt w:val="decimal"/>
      <w:lvlText w:val="%1)"/>
      <w:lvlJc w:val="left"/>
      <w:pPr>
        <w:ind w:left="1287" w:hanging="360"/>
      </w:pPr>
      <w:rPr>
        <w:rFonts w:ascii="Times New Roman" w:eastAsiaTheme="minorHAnsi" w:hAnsi="Times New Roman" w:cs="Times New Roman"/>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419984796">
    <w:abstractNumId w:val="0"/>
    <w:lvlOverride w:ilvl="0">
      <w:lvl w:ilvl="0">
        <w:numFmt w:val="upperRoman"/>
        <w:lvlText w:val="%1."/>
        <w:lvlJc w:val="right"/>
      </w:lvl>
    </w:lvlOverride>
  </w:num>
  <w:num w:numId="2" w16cid:durableId="1990547800">
    <w:abstractNumId w:val="12"/>
  </w:num>
  <w:num w:numId="3" w16cid:durableId="1038697225">
    <w:abstractNumId w:val="3"/>
  </w:num>
  <w:num w:numId="4" w16cid:durableId="2111506004">
    <w:abstractNumId w:val="13"/>
  </w:num>
  <w:num w:numId="5" w16cid:durableId="977148978">
    <w:abstractNumId w:val="28"/>
  </w:num>
  <w:num w:numId="6" w16cid:durableId="1709602088">
    <w:abstractNumId w:val="29"/>
  </w:num>
  <w:num w:numId="7" w16cid:durableId="1128473594">
    <w:abstractNumId w:val="32"/>
  </w:num>
  <w:num w:numId="8" w16cid:durableId="1507095283">
    <w:abstractNumId w:val="46"/>
  </w:num>
  <w:num w:numId="9" w16cid:durableId="304626113">
    <w:abstractNumId w:val="19"/>
  </w:num>
  <w:num w:numId="10" w16cid:durableId="1663199273">
    <w:abstractNumId w:val="20"/>
  </w:num>
  <w:num w:numId="11" w16cid:durableId="86075452">
    <w:abstractNumId w:val="34"/>
  </w:num>
  <w:num w:numId="12" w16cid:durableId="2094353418">
    <w:abstractNumId w:val="22"/>
  </w:num>
  <w:num w:numId="13" w16cid:durableId="366835581">
    <w:abstractNumId w:val="21"/>
  </w:num>
  <w:num w:numId="14" w16cid:durableId="863905811">
    <w:abstractNumId w:val="7"/>
  </w:num>
  <w:num w:numId="15" w16cid:durableId="568425837">
    <w:abstractNumId w:val="6"/>
  </w:num>
  <w:num w:numId="16" w16cid:durableId="1378814797">
    <w:abstractNumId w:val="42"/>
  </w:num>
  <w:num w:numId="17" w16cid:durableId="301934083">
    <w:abstractNumId w:val="39"/>
  </w:num>
  <w:num w:numId="18" w16cid:durableId="2102871962">
    <w:abstractNumId w:val="27"/>
  </w:num>
  <w:num w:numId="19" w16cid:durableId="1590120545">
    <w:abstractNumId w:val="26"/>
  </w:num>
  <w:num w:numId="20" w16cid:durableId="1814985015">
    <w:abstractNumId w:val="43"/>
  </w:num>
  <w:num w:numId="21" w16cid:durableId="293105362">
    <w:abstractNumId w:val="25"/>
  </w:num>
  <w:num w:numId="22" w16cid:durableId="1609460908">
    <w:abstractNumId w:val="33"/>
  </w:num>
  <w:num w:numId="23" w16cid:durableId="1737438401">
    <w:abstractNumId w:val="1"/>
  </w:num>
  <w:num w:numId="24" w16cid:durableId="731388718">
    <w:abstractNumId w:val="41"/>
  </w:num>
  <w:num w:numId="25" w16cid:durableId="1559394388">
    <w:abstractNumId w:val="36"/>
  </w:num>
  <w:num w:numId="26" w16cid:durableId="2024823357">
    <w:abstractNumId w:val="2"/>
  </w:num>
  <w:num w:numId="27" w16cid:durableId="550314545">
    <w:abstractNumId w:val="31"/>
  </w:num>
  <w:num w:numId="28" w16cid:durableId="1513644816">
    <w:abstractNumId w:val="16"/>
  </w:num>
  <w:num w:numId="29" w16cid:durableId="503252450">
    <w:abstractNumId w:val="38"/>
  </w:num>
  <w:num w:numId="30" w16cid:durableId="1958829638">
    <w:abstractNumId w:val="15"/>
  </w:num>
  <w:num w:numId="31" w16cid:durableId="1772705978">
    <w:abstractNumId w:val="44"/>
  </w:num>
  <w:num w:numId="32" w16cid:durableId="1921216072">
    <w:abstractNumId w:val="14"/>
  </w:num>
  <w:num w:numId="33" w16cid:durableId="1417902881">
    <w:abstractNumId w:val="11"/>
  </w:num>
  <w:num w:numId="34" w16cid:durableId="352921674">
    <w:abstractNumId w:val="45"/>
  </w:num>
  <w:num w:numId="35" w16cid:durableId="1567647030">
    <w:abstractNumId w:val="5"/>
  </w:num>
  <w:num w:numId="36" w16cid:durableId="1975788030">
    <w:abstractNumId w:val="10"/>
  </w:num>
  <w:num w:numId="37" w16cid:durableId="1501890025">
    <w:abstractNumId w:val="24"/>
  </w:num>
  <w:num w:numId="38" w16cid:durableId="717972320">
    <w:abstractNumId w:val="35"/>
  </w:num>
  <w:num w:numId="39" w16cid:durableId="2073578741">
    <w:abstractNumId w:val="37"/>
  </w:num>
  <w:num w:numId="40" w16cid:durableId="1181774772">
    <w:abstractNumId w:val="9"/>
  </w:num>
  <w:num w:numId="41" w16cid:durableId="1204246785">
    <w:abstractNumId w:val="18"/>
  </w:num>
  <w:num w:numId="42" w16cid:durableId="2069987251">
    <w:abstractNumId w:val="30"/>
  </w:num>
  <w:num w:numId="43" w16cid:durableId="27342479">
    <w:abstractNumId w:val="17"/>
  </w:num>
  <w:num w:numId="44" w16cid:durableId="1262643406">
    <w:abstractNumId w:val="40"/>
  </w:num>
  <w:num w:numId="45" w16cid:durableId="2130661555">
    <w:abstractNumId w:val="8"/>
  </w:num>
  <w:num w:numId="46" w16cid:durableId="427427833">
    <w:abstractNumId w:val="4"/>
  </w:num>
  <w:num w:numId="47" w16cid:durableId="3819504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EB"/>
    <w:rsid w:val="00005EB3"/>
    <w:rsid w:val="000077C3"/>
    <w:rsid w:val="00011B17"/>
    <w:rsid w:val="000306A4"/>
    <w:rsid w:val="00031337"/>
    <w:rsid w:val="0003474F"/>
    <w:rsid w:val="00035F38"/>
    <w:rsid w:val="00047324"/>
    <w:rsid w:val="000601EC"/>
    <w:rsid w:val="000836C9"/>
    <w:rsid w:val="00086FF8"/>
    <w:rsid w:val="000926E3"/>
    <w:rsid w:val="00096248"/>
    <w:rsid w:val="000A1A7D"/>
    <w:rsid w:val="000B01E0"/>
    <w:rsid w:val="000B1EDE"/>
    <w:rsid w:val="000B498F"/>
    <w:rsid w:val="000C0FDB"/>
    <w:rsid w:val="000C60C9"/>
    <w:rsid w:val="000D2B31"/>
    <w:rsid w:val="000E2749"/>
    <w:rsid w:val="000F4FE9"/>
    <w:rsid w:val="000F66AE"/>
    <w:rsid w:val="00104A2E"/>
    <w:rsid w:val="00110470"/>
    <w:rsid w:val="00113A50"/>
    <w:rsid w:val="00154CA1"/>
    <w:rsid w:val="00163578"/>
    <w:rsid w:val="00172264"/>
    <w:rsid w:val="00173F74"/>
    <w:rsid w:val="001835D2"/>
    <w:rsid w:val="00183899"/>
    <w:rsid w:val="00193153"/>
    <w:rsid w:val="0019719C"/>
    <w:rsid w:val="0019772B"/>
    <w:rsid w:val="001B445E"/>
    <w:rsid w:val="001B782E"/>
    <w:rsid w:val="001C30F8"/>
    <w:rsid w:val="001D2B8C"/>
    <w:rsid w:val="001D6748"/>
    <w:rsid w:val="001E1006"/>
    <w:rsid w:val="001F2A13"/>
    <w:rsid w:val="001F575B"/>
    <w:rsid w:val="001F6C9A"/>
    <w:rsid w:val="001F791E"/>
    <w:rsid w:val="00207E56"/>
    <w:rsid w:val="002109F5"/>
    <w:rsid w:val="00212209"/>
    <w:rsid w:val="002267AA"/>
    <w:rsid w:val="00227BE2"/>
    <w:rsid w:val="00231359"/>
    <w:rsid w:val="00237F59"/>
    <w:rsid w:val="00244326"/>
    <w:rsid w:val="00244C1E"/>
    <w:rsid w:val="00262D9B"/>
    <w:rsid w:val="00264395"/>
    <w:rsid w:val="00270400"/>
    <w:rsid w:val="002708BA"/>
    <w:rsid w:val="00273705"/>
    <w:rsid w:val="00287965"/>
    <w:rsid w:val="002929A4"/>
    <w:rsid w:val="00293587"/>
    <w:rsid w:val="002A3B59"/>
    <w:rsid w:val="002B25BE"/>
    <w:rsid w:val="002B2AB9"/>
    <w:rsid w:val="002B4BAE"/>
    <w:rsid w:val="002E534A"/>
    <w:rsid w:val="00301E18"/>
    <w:rsid w:val="00303D5F"/>
    <w:rsid w:val="00304B46"/>
    <w:rsid w:val="00305CB7"/>
    <w:rsid w:val="00306386"/>
    <w:rsid w:val="003114EC"/>
    <w:rsid w:val="00312627"/>
    <w:rsid w:val="0031372C"/>
    <w:rsid w:val="00313F54"/>
    <w:rsid w:val="0032379D"/>
    <w:rsid w:val="00323FF4"/>
    <w:rsid w:val="003246D3"/>
    <w:rsid w:val="003336AE"/>
    <w:rsid w:val="00335312"/>
    <w:rsid w:val="003431CE"/>
    <w:rsid w:val="00343FA3"/>
    <w:rsid w:val="003445CB"/>
    <w:rsid w:val="00352C3C"/>
    <w:rsid w:val="00354D53"/>
    <w:rsid w:val="00355CA9"/>
    <w:rsid w:val="0036264A"/>
    <w:rsid w:val="00362D83"/>
    <w:rsid w:val="0036650A"/>
    <w:rsid w:val="00377B8F"/>
    <w:rsid w:val="00380E7E"/>
    <w:rsid w:val="003836CB"/>
    <w:rsid w:val="00384A85"/>
    <w:rsid w:val="00392205"/>
    <w:rsid w:val="00394184"/>
    <w:rsid w:val="00394932"/>
    <w:rsid w:val="00395C16"/>
    <w:rsid w:val="003A2104"/>
    <w:rsid w:val="003B385F"/>
    <w:rsid w:val="003B62FA"/>
    <w:rsid w:val="003C3EA2"/>
    <w:rsid w:val="003D6C73"/>
    <w:rsid w:val="003D7583"/>
    <w:rsid w:val="003E0824"/>
    <w:rsid w:val="003E266D"/>
    <w:rsid w:val="003F741B"/>
    <w:rsid w:val="00404B9D"/>
    <w:rsid w:val="00406FED"/>
    <w:rsid w:val="004168B7"/>
    <w:rsid w:val="004210DE"/>
    <w:rsid w:val="004245C6"/>
    <w:rsid w:val="004272F9"/>
    <w:rsid w:val="00432051"/>
    <w:rsid w:val="00435757"/>
    <w:rsid w:val="00436E0D"/>
    <w:rsid w:val="00446924"/>
    <w:rsid w:val="00450DF4"/>
    <w:rsid w:val="004631E2"/>
    <w:rsid w:val="00464A0B"/>
    <w:rsid w:val="00484DC8"/>
    <w:rsid w:val="0048782E"/>
    <w:rsid w:val="004A7618"/>
    <w:rsid w:val="004B132E"/>
    <w:rsid w:val="004B3C84"/>
    <w:rsid w:val="004B4869"/>
    <w:rsid w:val="004D5542"/>
    <w:rsid w:val="004D5649"/>
    <w:rsid w:val="004E2ACB"/>
    <w:rsid w:val="004E51C9"/>
    <w:rsid w:val="004E7402"/>
    <w:rsid w:val="004F2C71"/>
    <w:rsid w:val="004F3656"/>
    <w:rsid w:val="005214B6"/>
    <w:rsid w:val="0053174D"/>
    <w:rsid w:val="00534B5A"/>
    <w:rsid w:val="005418FC"/>
    <w:rsid w:val="005449B6"/>
    <w:rsid w:val="0055555B"/>
    <w:rsid w:val="00573A89"/>
    <w:rsid w:val="005875EA"/>
    <w:rsid w:val="0059443F"/>
    <w:rsid w:val="005C51B9"/>
    <w:rsid w:val="005D6C01"/>
    <w:rsid w:val="005D6C87"/>
    <w:rsid w:val="005F3BC9"/>
    <w:rsid w:val="005F5927"/>
    <w:rsid w:val="00611904"/>
    <w:rsid w:val="006238F8"/>
    <w:rsid w:val="00625D3C"/>
    <w:rsid w:val="00630309"/>
    <w:rsid w:val="00631BD2"/>
    <w:rsid w:val="00631F15"/>
    <w:rsid w:val="00632724"/>
    <w:rsid w:val="00637B95"/>
    <w:rsid w:val="00643A16"/>
    <w:rsid w:val="00647E4D"/>
    <w:rsid w:val="00651F1A"/>
    <w:rsid w:val="00652309"/>
    <w:rsid w:val="00657DA9"/>
    <w:rsid w:val="006609E4"/>
    <w:rsid w:val="006616F3"/>
    <w:rsid w:val="00661E02"/>
    <w:rsid w:val="006642A2"/>
    <w:rsid w:val="00670E6F"/>
    <w:rsid w:val="00671688"/>
    <w:rsid w:val="00675F52"/>
    <w:rsid w:val="00677E2B"/>
    <w:rsid w:val="00680F74"/>
    <w:rsid w:val="00695445"/>
    <w:rsid w:val="00695CB2"/>
    <w:rsid w:val="00696D2D"/>
    <w:rsid w:val="006A0F82"/>
    <w:rsid w:val="006A15C0"/>
    <w:rsid w:val="006A5A43"/>
    <w:rsid w:val="006A6AB3"/>
    <w:rsid w:val="006B21A6"/>
    <w:rsid w:val="006C039C"/>
    <w:rsid w:val="006C5DC6"/>
    <w:rsid w:val="006D0B56"/>
    <w:rsid w:val="006D2A03"/>
    <w:rsid w:val="006D6919"/>
    <w:rsid w:val="006E0A45"/>
    <w:rsid w:val="00700CC7"/>
    <w:rsid w:val="0070340C"/>
    <w:rsid w:val="00706A6B"/>
    <w:rsid w:val="0072493E"/>
    <w:rsid w:val="00727A8C"/>
    <w:rsid w:val="00734D75"/>
    <w:rsid w:val="00736DE0"/>
    <w:rsid w:val="00744F83"/>
    <w:rsid w:val="007469B0"/>
    <w:rsid w:val="007475C8"/>
    <w:rsid w:val="0075782F"/>
    <w:rsid w:val="00766738"/>
    <w:rsid w:val="00771C01"/>
    <w:rsid w:val="00772150"/>
    <w:rsid w:val="00777228"/>
    <w:rsid w:val="00787947"/>
    <w:rsid w:val="007927C8"/>
    <w:rsid w:val="00793AD2"/>
    <w:rsid w:val="007A39E9"/>
    <w:rsid w:val="007A5348"/>
    <w:rsid w:val="007B5A2A"/>
    <w:rsid w:val="007C0D2D"/>
    <w:rsid w:val="007C6983"/>
    <w:rsid w:val="007D217C"/>
    <w:rsid w:val="007D23DF"/>
    <w:rsid w:val="007D5B65"/>
    <w:rsid w:val="007E00D3"/>
    <w:rsid w:val="007E2237"/>
    <w:rsid w:val="007E52AD"/>
    <w:rsid w:val="007F3F41"/>
    <w:rsid w:val="007F71EB"/>
    <w:rsid w:val="007F76EC"/>
    <w:rsid w:val="00820B04"/>
    <w:rsid w:val="008242F1"/>
    <w:rsid w:val="00847AFD"/>
    <w:rsid w:val="008531F9"/>
    <w:rsid w:val="00853791"/>
    <w:rsid w:val="008547E5"/>
    <w:rsid w:val="008552CF"/>
    <w:rsid w:val="00865321"/>
    <w:rsid w:val="00867C8B"/>
    <w:rsid w:val="00874B30"/>
    <w:rsid w:val="00874E54"/>
    <w:rsid w:val="00875570"/>
    <w:rsid w:val="008770D9"/>
    <w:rsid w:val="008778B4"/>
    <w:rsid w:val="00880E50"/>
    <w:rsid w:val="00885AB8"/>
    <w:rsid w:val="0088696E"/>
    <w:rsid w:val="00887E99"/>
    <w:rsid w:val="00895C92"/>
    <w:rsid w:val="008A0600"/>
    <w:rsid w:val="008A0B0E"/>
    <w:rsid w:val="008B0DBE"/>
    <w:rsid w:val="008B15BE"/>
    <w:rsid w:val="008B285F"/>
    <w:rsid w:val="008B6FB0"/>
    <w:rsid w:val="008C4EF0"/>
    <w:rsid w:val="008D00B7"/>
    <w:rsid w:val="008D3038"/>
    <w:rsid w:val="008E5CF0"/>
    <w:rsid w:val="008F05EB"/>
    <w:rsid w:val="008F3D8E"/>
    <w:rsid w:val="00904BFB"/>
    <w:rsid w:val="00906291"/>
    <w:rsid w:val="0090676A"/>
    <w:rsid w:val="00912A38"/>
    <w:rsid w:val="0091421E"/>
    <w:rsid w:val="00917EDC"/>
    <w:rsid w:val="00924886"/>
    <w:rsid w:val="0093773A"/>
    <w:rsid w:val="00942823"/>
    <w:rsid w:val="009447B7"/>
    <w:rsid w:val="009635AC"/>
    <w:rsid w:val="00970C54"/>
    <w:rsid w:val="00980E17"/>
    <w:rsid w:val="00982E4F"/>
    <w:rsid w:val="009842CE"/>
    <w:rsid w:val="00994FD6"/>
    <w:rsid w:val="009A06FB"/>
    <w:rsid w:val="009B0CCB"/>
    <w:rsid w:val="009C1177"/>
    <w:rsid w:val="009C5AB1"/>
    <w:rsid w:val="009D6B92"/>
    <w:rsid w:val="009F2746"/>
    <w:rsid w:val="009F500B"/>
    <w:rsid w:val="009F5477"/>
    <w:rsid w:val="00A000C8"/>
    <w:rsid w:val="00A02202"/>
    <w:rsid w:val="00A05F4B"/>
    <w:rsid w:val="00A13CC2"/>
    <w:rsid w:val="00A1472B"/>
    <w:rsid w:val="00A158AF"/>
    <w:rsid w:val="00A20B4C"/>
    <w:rsid w:val="00A20EF9"/>
    <w:rsid w:val="00A26D8B"/>
    <w:rsid w:val="00A36033"/>
    <w:rsid w:val="00A6317D"/>
    <w:rsid w:val="00A64056"/>
    <w:rsid w:val="00A668D4"/>
    <w:rsid w:val="00A67101"/>
    <w:rsid w:val="00A72DBC"/>
    <w:rsid w:val="00A75ECC"/>
    <w:rsid w:val="00A777B7"/>
    <w:rsid w:val="00A87671"/>
    <w:rsid w:val="00A8768B"/>
    <w:rsid w:val="00A87BA2"/>
    <w:rsid w:val="00A92E67"/>
    <w:rsid w:val="00A933B7"/>
    <w:rsid w:val="00AA0421"/>
    <w:rsid w:val="00AA3ADF"/>
    <w:rsid w:val="00AA5ECC"/>
    <w:rsid w:val="00AA640C"/>
    <w:rsid w:val="00AB4E19"/>
    <w:rsid w:val="00AD0B3D"/>
    <w:rsid w:val="00AD294B"/>
    <w:rsid w:val="00AD2E70"/>
    <w:rsid w:val="00AD55C6"/>
    <w:rsid w:val="00AD7F34"/>
    <w:rsid w:val="00AE0330"/>
    <w:rsid w:val="00AF04BE"/>
    <w:rsid w:val="00B00765"/>
    <w:rsid w:val="00B03323"/>
    <w:rsid w:val="00B04BA6"/>
    <w:rsid w:val="00B1294C"/>
    <w:rsid w:val="00B2143C"/>
    <w:rsid w:val="00B22D29"/>
    <w:rsid w:val="00B22DC9"/>
    <w:rsid w:val="00B23540"/>
    <w:rsid w:val="00B36EFD"/>
    <w:rsid w:val="00B412B1"/>
    <w:rsid w:val="00B43AB6"/>
    <w:rsid w:val="00B44155"/>
    <w:rsid w:val="00B448EB"/>
    <w:rsid w:val="00B46D0A"/>
    <w:rsid w:val="00B50E62"/>
    <w:rsid w:val="00B50FF1"/>
    <w:rsid w:val="00B51372"/>
    <w:rsid w:val="00B51E45"/>
    <w:rsid w:val="00B5760D"/>
    <w:rsid w:val="00B72FE5"/>
    <w:rsid w:val="00B75D15"/>
    <w:rsid w:val="00B85CFD"/>
    <w:rsid w:val="00B9156B"/>
    <w:rsid w:val="00B9655B"/>
    <w:rsid w:val="00BA5109"/>
    <w:rsid w:val="00BA7803"/>
    <w:rsid w:val="00BB35C6"/>
    <w:rsid w:val="00BB3CE1"/>
    <w:rsid w:val="00BB425F"/>
    <w:rsid w:val="00BC1453"/>
    <w:rsid w:val="00BC2443"/>
    <w:rsid w:val="00BC37AD"/>
    <w:rsid w:val="00BC3995"/>
    <w:rsid w:val="00BC51AA"/>
    <w:rsid w:val="00BC7E3D"/>
    <w:rsid w:val="00BD5B84"/>
    <w:rsid w:val="00BE7BB0"/>
    <w:rsid w:val="00BF16B4"/>
    <w:rsid w:val="00BF187C"/>
    <w:rsid w:val="00BF56ED"/>
    <w:rsid w:val="00BF5B72"/>
    <w:rsid w:val="00C03FBE"/>
    <w:rsid w:val="00C04462"/>
    <w:rsid w:val="00C10543"/>
    <w:rsid w:val="00C10580"/>
    <w:rsid w:val="00C11736"/>
    <w:rsid w:val="00C12048"/>
    <w:rsid w:val="00C12469"/>
    <w:rsid w:val="00C176B0"/>
    <w:rsid w:val="00C20240"/>
    <w:rsid w:val="00C23374"/>
    <w:rsid w:val="00C24CDB"/>
    <w:rsid w:val="00C35DC3"/>
    <w:rsid w:val="00C4579D"/>
    <w:rsid w:val="00C45A1E"/>
    <w:rsid w:val="00C47550"/>
    <w:rsid w:val="00C541CB"/>
    <w:rsid w:val="00C54730"/>
    <w:rsid w:val="00C57808"/>
    <w:rsid w:val="00C6266C"/>
    <w:rsid w:val="00C74BA0"/>
    <w:rsid w:val="00C75A1F"/>
    <w:rsid w:val="00C93962"/>
    <w:rsid w:val="00CC0713"/>
    <w:rsid w:val="00CC2771"/>
    <w:rsid w:val="00CC2962"/>
    <w:rsid w:val="00CE738D"/>
    <w:rsid w:val="00CF11E1"/>
    <w:rsid w:val="00CF67AB"/>
    <w:rsid w:val="00D0021E"/>
    <w:rsid w:val="00D01455"/>
    <w:rsid w:val="00D02B83"/>
    <w:rsid w:val="00D14209"/>
    <w:rsid w:val="00D17232"/>
    <w:rsid w:val="00D21329"/>
    <w:rsid w:val="00D24C89"/>
    <w:rsid w:val="00D3170E"/>
    <w:rsid w:val="00D32C14"/>
    <w:rsid w:val="00D34C24"/>
    <w:rsid w:val="00D404BC"/>
    <w:rsid w:val="00D6049B"/>
    <w:rsid w:val="00D6307B"/>
    <w:rsid w:val="00D64FDF"/>
    <w:rsid w:val="00D81145"/>
    <w:rsid w:val="00D8142E"/>
    <w:rsid w:val="00D81F05"/>
    <w:rsid w:val="00D82083"/>
    <w:rsid w:val="00D82A5C"/>
    <w:rsid w:val="00DA249B"/>
    <w:rsid w:val="00DA3761"/>
    <w:rsid w:val="00DA5963"/>
    <w:rsid w:val="00DC06A2"/>
    <w:rsid w:val="00DC42EB"/>
    <w:rsid w:val="00DC61A5"/>
    <w:rsid w:val="00DC716C"/>
    <w:rsid w:val="00DD0C6F"/>
    <w:rsid w:val="00DE5F04"/>
    <w:rsid w:val="00E0027D"/>
    <w:rsid w:val="00E015E2"/>
    <w:rsid w:val="00E155A0"/>
    <w:rsid w:val="00E2090F"/>
    <w:rsid w:val="00E26C4C"/>
    <w:rsid w:val="00E276F9"/>
    <w:rsid w:val="00E400FC"/>
    <w:rsid w:val="00E41D0F"/>
    <w:rsid w:val="00E44F71"/>
    <w:rsid w:val="00E54A18"/>
    <w:rsid w:val="00E55109"/>
    <w:rsid w:val="00E569BB"/>
    <w:rsid w:val="00E61CCE"/>
    <w:rsid w:val="00E75667"/>
    <w:rsid w:val="00E77AAE"/>
    <w:rsid w:val="00E9209B"/>
    <w:rsid w:val="00E96E1F"/>
    <w:rsid w:val="00E96F23"/>
    <w:rsid w:val="00EA0DCA"/>
    <w:rsid w:val="00EA34C5"/>
    <w:rsid w:val="00EA3983"/>
    <w:rsid w:val="00EA6C5F"/>
    <w:rsid w:val="00EA6EDF"/>
    <w:rsid w:val="00EB1837"/>
    <w:rsid w:val="00EB26AE"/>
    <w:rsid w:val="00ED72AF"/>
    <w:rsid w:val="00EE27D6"/>
    <w:rsid w:val="00EE6553"/>
    <w:rsid w:val="00EF0949"/>
    <w:rsid w:val="00EF4DEE"/>
    <w:rsid w:val="00EF6D41"/>
    <w:rsid w:val="00F0189E"/>
    <w:rsid w:val="00F05F92"/>
    <w:rsid w:val="00F11FFB"/>
    <w:rsid w:val="00F12B04"/>
    <w:rsid w:val="00F24BCF"/>
    <w:rsid w:val="00F26B9C"/>
    <w:rsid w:val="00F27961"/>
    <w:rsid w:val="00F31109"/>
    <w:rsid w:val="00F32227"/>
    <w:rsid w:val="00F3718D"/>
    <w:rsid w:val="00F37C89"/>
    <w:rsid w:val="00F41055"/>
    <w:rsid w:val="00F47D90"/>
    <w:rsid w:val="00F52B18"/>
    <w:rsid w:val="00F52CD2"/>
    <w:rsid w:val="00F52D48"/>
    <w:rsid w:val="00F54657"/>
    <w:rsid w:val="00F63D07"/>
    <w:rsid w:val="00F65BD6"/>
    <w:rsid w:val="00F74CC0"/>
    <w:rsid w:val="00F76AAC"/>
    <w:rsid w:val="00F8177D"/>
    <w:rsid w:val="00F81C28"/>
    <w:rsid w:val="00F85563"/>
    <w:rsid w:val="00F87587"/>
    <w:rsid w:val="00F938C3"/>
    <w:rsid w:val="00FA47A3"/>
    <w:rsid w:val="00FB3443"/>
    <w:rsid w:val="00FB5CBF"/>
    <w:rsid w:val="00FD4274"/>
    <w:rsid w:val="00FE17BC"/>
    <w:rsid w:val="00FE425E"/>
    <w:rsid w:val="00FF6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2C926"/>
  <w15:chartTrackingRefBased/>
  <w15:docId w15:val="{70A9E7CE-F3EC-4395-8B2C-745941A4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360" w:lineRule="auto"/>
        <w:ind w:left="357" w:firstLine="3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72B"/>
  </w:style>
  <w:style w:type="paragraph" w:styleId="Heading1">
    <w:name w:val="heading 1"/>
    <w:basedOn w:val="Normal"/>
    <w:link w:val="Heading1Char"/>
    <w:uiPriority w:val="9"/>
    <w:qFormat/>
    <w:rsid w:val="00F31109"/>
    <w:pPr>
      <w:spacing w:before="100" w:beforeAutospacing="1" w:after="100" w:afterAutospacing="1" w:line="240" w:lineRule="auto"/>
      <w:ind w:left="0" w:firstLine="0"/>
      <w:jc w:val="left"/>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77A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842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E45"/>
  </w:style>
  <w:style w:type="paragraph" w:styleId="Footer">
    <w:name w:val="footer"/>
    <w:basedOn w:val="Normal"/>
    <w:link w:val="FooterChar"/>
    <w:uiPriority w:val="99"/>
    <w:unhideWhenUsed/>
    <w:rsid w:val="00B51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E45"/>
  </w:style>
  <w:style w:type="paragraph" w:styleId="NormalWeb">
    <w:name w:val="Normal (Web)"/>
    <w:basedOn w:val="Normal"/>
    <w:uiPriority w:val="99"/>
    <w:unhideWhenUsed/>
    <w:rsid w:val="00BC7E3D"/>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customStyle="1" w:styleId="apple-tab-span">
    <w:name w:val="apple-tab-span"/>
    <w:basedOn w:val="DefaultParagraphFont"/>
    <w:rsid w:val="00B9655B"/>
  </w:style>
  <w:style w:type="character" w:customStyle="1" w:styleId="Heading1Char">
    <w:name w:val="Heading 1 Char"/>
    <w:basedOn w:val="DefaultParagraphFont"/>
    <w:link w:val="Heading1"/>
    <w:uiPriority w:val="9"/>
    <w:rsid w:val="00F31109"/>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F31109"/>
    <w:pPr>
      <w:ind w:left="720"/>
      <w:contextualSpacing/>
    </w:pPr>
  </w:style>
  <w:style w:type="table" w:styleId="TableGrid">
    <w:name w:val="Table Grid"/>
    <w:basedOn w:val="TableNormal"/>
    <w:uiPriority w:val="59"/>
    <w:rsid w:val="002B2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3FF4"/>
    <w:rPr>
      <w:color w:val="808080"/>
    </w:rPr>
  </w:style>
  <w:style w:type="character" w:customStyle="1" w:styleId="Heading2Char">
    <w:name w:val="Heading 2 Char"/>
    <w:basedOn w:val="DefaultParagraphFont"/>
    <w:link w:val="Heading2"/>
    <w:uiPriority w:val="9"/>
    <w:rsid w:val="00E77AA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842CE"/>
    <w:rPr>
      <w:rFonts w:asciiTheme="majorHAnsi" w:eastAsiaTheme="majorEastAsia" w:hAnsiTheme="majorHAnsi" w:cstheme="majorBidi"/>
      <w:color w:val="1F3763" w:themeColor="accent1" w:themeShade="7F"/>
      <w:sz w:val="24"/>
      <w:szCs w:val="24"/>
    </w:rPr>
  </w:style>
  <w:style w:type="paragraph" w:customStyle="1" w:styleId="TableParagraph">
    <w:name w:val="Table Paragraph"/>
    <w:basedOn w:val="Normal"/>
    <w:uiPriority w:val="1"/>
    <w:qFormat/>
    <w:rsid w:val="00E276F9"/>
    <w:pPr>
      <w:widowControl w:val="0"/>
      <w:autoSpaceDE w:val="0"/>
      <w:autoSpaceDN w:val="0"/>
      <w:spacing w:before="94" w:after="0" w:line="240" w:lineRule="auto"/>
      <w:ind w:left="67" w:firstLine="0"/>
      <w:jc w:val="left"/>
    </w:pPr>
    <w:rPr>
      <w:rFonts w:ascii="Cambria" w:eastAsia="Cambria" w:hAnsi="Cambria" w:cs="Cambria"/>
    </w:rPr>
  </w:style>
  <w:style w:type="table" w:customStyle="1" w:styleId="2">
    <w:name w:val="2"/>
    <w:basedOn w:val="TableNormal"/>
    <w:rsid w:val="002B25BE"/>
    <w:pPr>
      <w:spacing w:after="0" w:line="240" w:lineRule="auto"/>
      <w:ind w:left="0" w:firstLine="0"/>
      <w:jc w:val="left"/>
    </w:pPr>
    <w:rPr>
      <w:rFonts w:ascii="Calibri" w:eastAsia="Calibri" w:hAnsi="Calibri" w:cs="Calibri"/>
      <w:color w:val="000000"/>
      <w:lang w:val="en-GB"/>
    </w:rPr>
    <w:tblPr>
      <w:tblStyleRowBandSize w:val="1"/>
      <w:tblStyleColBandSize w:val="1"/>
    </w:tblPr>
  </w:style>
  <w:style w:type="character" w:styleId="Hyperlink">
    <w:name w:val="Hyperlink"/>
    <w:basedOn w:val="DefaultParagraphFont"/>
    <w:uiPriority w:val="99"/>
    <w:unhideWhenUsed/>
    <w:rsid w:val="00657DA9"/>
    <w:rPr>
      <w:color w:val="0563C1" w:themeColor="hyperlink"/>
      <w:u w:val="single"/>
    </w:rPr>
  </w:style>
  <w:style w:type="character" w:styleId="UnresolvedMention">
    <w:name w:val="Unresolved Mention"/>
    <w:basedOn w:val="DefaultParagraphFont"/>
    <w:uiPriority w:val="99"/>
    <w:semiHidden/>
    <w:unhideWhenUsed/>
    <w:rsid w:val="00657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112">
      <w:bodyDiv w:val="1"/>
      <w:marLeft w:val="0"/>
      <w:marRight w:val="0"/>
      <w:marTop w:val="0"/>
      <w:marBottom w:val="0"/>
      <w:divBdr>
        <w:top w:val="none" w:sz="0" w:space="0" w:color="auto"/>
        <w:left w:val="none" w:sz="0" w:space="0" w:color="auto"/>
        <w:bottom w:val="none" w:sz="0" w:space="0" w:color="auto"/>
        <w:right w:val="none" w:sz="0" w:space="0" w:color="auto"/>
      </w:divBdr>
    </w:div>
    <w:div w:id="164710587">
      <w:bodyDiv w:val="1"/>
      <w:marLeft w:val="0"/>
      <w:marRight w:val="0"/>
      <w:marTop w:val="0"/>
      <w:marBottom w:val="0"/>
      <w:divBdr>
        <w:top w:val="none" w:sz="0" w:space="0" w:color="auto"/>
        <w:left w:val="none" w:sz="0" w:space="0" w:color="auto"/>
        <w:bottom w:val="none" w:sz="0" w:space="0" w:color="auto"/>
        <w:right w:val="none" w:sz="0" w:space="0" w:color="auto"/>
      </w:divBdr>
    </w:div>
    <w:div w:id="261375302">
      <w:bodyDiv w:val="1"/>
      <w:marLeft w:val="0"/>
      <w:marRight w:val="0"/>
      <w:marTop w:val="0"/>
      <w:marBottom w:val="0"/>
      <w:divBdr>
        <w:top w:val="none" w:sz="0" w:space="0" w:color="auto"/>
        <w:left w:val="none" w:sz="0" w:space="0" w:color="auto"/>
        <w:bottom w:val="none" w:sz="0" w:space="0" w:color="auto"/>
        <w:right w:val="none" w:sz="0" w:space="0" w:color="auto"/>
      </w:divBdr>
    </w:div>
    <w:div w:id="285505812">
      <w:bodyDiv w:val="1"/>
      <w:marLeft w:val="0"/>
      <w:marRight w:val="0"/>
      <w:marTop w:val="0"/>
      <w:marBottom w:val="0"/>
      <w:divBdr>
        <w:top w:val="none" w:sz="0" w:space="0" w:color="auto"/>
        <w:left w:val="none" w:sz="0" w:space="0" w:color="auto"/>
        <w:bottom w:val="none" w:sz="0" w:space="0" w:color="auto"/>
        <w:right w:val="none" w:sz="0" w:space="0" w:color="auto"/>
      </w:divBdr>
    </w:div>
    <w:div w:id="290206286">
      <w:bodyDiv w:val="1"/>
      <w:marLeft w:val="0"/>
      <w:marRight w:val="0"/>
      <w:marTop w:val="0"/>
      <w:marBottom w:val="0"/>
      <w:divBdr>
        <w:top w:val="none" w:sz="0" w:space="0" w:color="auto"/>
        <w:left w:val="none" w:sz="0" w:space="0" w:color="auto"/>
        <w:bottom w:val="none" w:sz="0" w:space="0" w:color="auto"/>
        <w:right w:val="none" w:sz="0" w:space="0" w:color="auto"/>
      </w:divBdr>
    </w:div>
    <w:div w:id="291135360">
      <w:bodyDiv w:val="1"/>
      <w:marLeft w:val="0"/>
      <w:marRight w:val="0"/>
      <w:marTop w:val="0"/>
      <w:marBottom w:val="0"/>
      <w:divBdr>
        <w:top w:val="none" w:sz="0" w:space="0" w:color="auto"/>
        <w:left w:val="none" w:sz="0" w:space="0" w:color="auto"/>
        <w:bottom w:val="none" w:sz="0" w:space="0" w:color="auto"/>
        <w:right w:val="none" w:sz="0" w:space="0" w:color="auto"/>
      </w:divBdr>
    </w:div>
    <w:div w:id="348677655">
      <w:bodyDiv w:val="1"/>
      <w:marLeft w:val="0"/>
      <w:marRight w:val="0"/>
      <w:marTop w:val="0"/>
      <w:marBottom w:val="0"/>
      <w:divBdr>
        <w:top w:val="none" w:sz="0" w:space="0" w:color="auto"/>
        <w:left w:val="none" w:sz="0" w:space="0" w:color="auto"/>
        <w:bottom w:val="none" w:sz="0" w:space="0" w:color="auto"/>
        <w:right w:val="none" w:sz="0" w:space="0" w:color="auto"/>
      </w:divBdr>
    </w:div>
    <w:div w:id="382405843">
      <w:bodyDiv w:val="1"/>
      <w:marLeft w:val="0"/>
      <w:marRight w:val="0"/>
      <w:marTop w:val="0"/>
      <w:marBottom w:val="0"/>
      <w:divBdr>
        <w:top w:val="none" w:sz="0" w:space="0" w:color="auto"/>
        <w:left w:val="none" w:sz="0" w:space="0" w:color="auto"/>
        <w:bottom w:val="none" w:sz="0" w:space="0" w:color="auto"/>
        <w:right w:val="none" w:sz="0" w:space="0" w:color="auto"/>
      </w:divBdr>
    </w:div>
    <w:div w:id="413823297">
      <w:bodyDiv w:val="1"/>
      <w:marLeft w:val="0"/>
      <w:marRight w:val="0"/>
      <w:marTop w:val="0"/>
      <w:marBottom w:val="0"/>
      <w:divBdr>
        <w:top w:val="none" w:sz="0" w:space="0" w:color="auto"/>
        <w:left w:val="none" w:sz="0" w:space="0" w:color="auto"/>
        <w:bottom w:val="none" w:sz="0" w:space="0" w:color="auto"/>
        <w:right w:val="none" w:sz="0" w:space="0" w:color="auto"/>
      </w:divBdr>
    </w:div>
    <w:div w:id="487861431">
      <w:bodyDiv w:val="1"/>
      <w:marLeft w:val="0"/>
      <w:marRight w:val="0"/>
      <w:marTop w:val="0"/>
      <w:marBottom w:val="0"/>
      <w:divBdr>
        <w:top w:val="none" w:sz="0" w:space="0" w:color="auto"/>
        <w:left w:val="none" w:sz="0" w:space="0" w:color="auto"/>
        <w:bottom w:val="none" w:sz="0" w:space="0" w:color="auto"/>
        <w:right w:val="none" w:sz="0" w:space="0" w:color="auto"/>
      </w:divBdr>
    </w:div>
    <w:div w:id="537553500">
      <w:bodyDiv w:val="1"/>
      <w:marLeft w:val="0"/>
      <w:marRight w:val="0"/>
      <w:marTop w:val="0"/>
      <w:marBottom w:val="0"/>
      <w:divBdr>
        <w:top w:val="none" w:sz="0" w:space="0" w:color="auto"/>
        <w:left w:val="none" w:sz="0" w:space="0" w:color="auto"/>
        <w:bottom w:val="none" w:sz="0" w:space="0" w:color="auto"/>
        <w:right w:val="none" w:sz="0" w:space="0" w:color="auto"/>
      </w:divBdr>
    </w:div>
    <w:div w:id="592737428">
      <w:bodyDiv w:val="1"/>
      <w:marLeft w:val="0"/>
      <w:marRight w:val="0"/>
      <w:marTop w:val="0"/>
      <w:marBottom w:val="0"/>
      <w:divBdr>
        <w:top w:val="none" w:sz="0" w:space="0" w:color="auto"/>
        <w:left w:val="none" w:sz="0" w:space="0" w:color="auto"/>
        <w:bottom w:val="none" w:sz="0" w:space="0" w:color="auto"/>
        <w:right w:val="none" w:sz="0" w:space="0" w:color="auto"/>
      </w:divBdr>
    </w:div>
    <w:div w:id="663317821">
      <w:bodyDiv w:val="1"/>
      <w:marLeft w:val="0"/>
      <w:marRight w:val="0"/>
      <w:marTop w:val="0"/>
      <w:marBottom w:val="0"/>
      <w:divBdr>
        <w:top w:val="none" w:sz="0" w:space="0" w:color="auto"/>
        <w:left w:val="none" w:sz="0" w:space="0" w:color="auto"/>
        <w:bottom w:val="none" w:sz="0" w:space="0" w:color="auto"/>
        <w:right w:val="none" w:sz="0" w:space="0" w:color="auto"/>
      </w:divBdr>
    </w:div>
    <w:div w:id="716514791">
      <w:bodyDiv w:val="1"/>
      <w:marLeft w:val="0"/>
      <w:marRight w:val="0"/>
      <w:marTop w:val="0"/>
      <w:marBottom w:val="0"/>
      <w:divBdr>
        <w:top w:val="none" w:sz="0" w:space="0" w:color="auto"/>
        <w:left w:val="none" w:sz="0" w:space="0" w:color="auto"/>
        <w:bottom w:val="none" w:sz="0" w:space="0" w:color="auto"/>
        <w:right w:val="none" w:sz="0" w:space="0" w:color="auto"/>
      </w:divBdr>
    </w:div>
    <w:div w:id="866409235">
      <w:bodyDiv w:val="1"/>
      <w:marLeft w:val="0"/>
      <w:marRight w:val="0"/>
      <w:marTop w:val="0"/>
      <w:marBottom w:val="0"/>
      <w:divBdr>
        <w:top w:val="none" w:sz="0" w:space="0" w:color="auto"/>
        <w:left w:val="none" w:sz="0" w:space="0" w:color="auto"/>
        <w:bottom w:val="none" w:sz="0" w:space="0" w:color="auto"/>
        <w:right w:val="none" w:sz="0" w:space="0" w:color="auto"/>
      </w:divBdr>
    </w:div>
    <w:div w:id="945886701">
      <w:bodyDiv w:val="1"/>
      <w:marLeft w:val="0"/>
      <w:marRight w:val="0"/>
      <w:marTop w:val="0"/>
      <w:marBottom w:val="0"/>
      <w:divBdr>
        <w:top w:val="none" w:sz="0" w:space="0" w:color="auto"/>
        <w:left w:val="none" w:sz="0" w:space="0" w:color="auto"/>
        <w:bottom w:val="none" w:sz="0" w:space="0" w:color="auto"/>
        <w:right w:val="none" w:sz="0" w:space="0" w:color="auto"/>
      </w:divBdr>
    </w:div>
    <w:div w:id="946350196">
      <w:bodyDiv w:val="1"/>
      <w:marLeft w:val="0"/>
      <w:marRight w:val="0"/>
      <w:marTop w:val="0"/>
      <w:marBottom w:val="0"/>
      <w:divBdr>
        <w:top w:val="none" w:sz="0" w:space="0" w:color="auto"/>
        <w:left w:val="none" w:sz="0" w:space="0" w:color="auto"/>
        <w:bottom w:val="none" w:sz="0" w:space="0" w:color="auto"/>
        <w:right w:val="none" w:sz="0" w:space="0" w:color="auto"/>
      </w:divBdr>
    </w:div>
    <w:div w:id="984357494">
      <w:bodyDiv w:val="1"/>
      <w:marLeft w:val="0"/>
      <w:marRight w:val="0"/>
      <w:marTop w:val="0"/>
      <w:marBottom w:val="0"/>
      <w:divBdr>
        <w:top w:val="none" w:sz="0" w:space="0" w:color="auto"/>
        <w:left w:val="none" w:sz="0" w:space="0" w:color="auto"/>
        <w:bottom w:val="none" w:sz="0" w:space="0" w:color="auto"/>
        <w:right w:val="none" w:sz="0" w:space="0" w:color="auto"/>
      </w:divBdr>
    </w:div>
    <w:div w:id="1003825763">
      <w:bodyDiv w:val="1"/>
      <w:marLeft w:val="0"/>
      <w:marRight w:val="0"/>
      <w:marTop w:val="0"/>
      <w:marBottom w:val="0"/>
      <w:divBdr>
        <w:top w:val="none" w:sz="0" w:space="0" w:color="auto"/>
        <w:left w:val="none" w:sz="0" w:space="0" w:color="auto"/>
        <w:bottom w:val="none" w:sz="0" w:space="0" w:color="auto"/>
        <w:right w:val="none" w:sz="0" w:space="0" w:color="auto"/>
      </w:divBdr>
    </w:div>
    <w:div w:id="1024869109">
      <w:bodyDiv w:val="1"/>
      <w:marLeft w:val="0"/>
      <w:marRight w:val="0"/>
      <w:marTop w:val="0"/>
      <w:marBottom w:val="0"/>
      <w:divBdr>
        <w:top w:val="none" w:sz="0" w:space="0" w:color="auto"/>
        <w:left w:val="none" w:sz="0" w:space="0" w:color="auto"/>
        <w:bottom w:val="none" w:sz="0" w:space="0" w:color="auto"/>
        <w:right w:val="none" w:sz="0" w:space="0" w:color="auto"/>
      </w:divBdr>
    </w:div>
    <w:div w:id="1080562569">
      <w:bodyDiv w:val="1"/>
      <w:marLeft w:val="0"/>
      <w:marRight w:val="0"/>
      <w:marTop w:val="0"/>
      <w:marBottom w:val="0"/>
      <w:divBdr>
        <w:top w:val="none" w:sz="0" w:space="0" w:color="auto"/>
        <w:left w:val="none" w:sz="0" w:space="0" w:color="auto"/>
        <w:bottom w:val="none" w:sz="0" w:space="0" w:color="auto"/>
        <w:right w:val="none" w:sz="0" w:space="0" w:color="auto"/>
      </w:divBdr>
    </w:div>
    <w:div w:id="1106803830">
      <w:bodyDiv w:val="1"/>
      <w:marLeft w:val="0"/>
      <w:marRight w:val="0"/>
      <w:marTop w:val="0"/>
      <w:marBottom w:val="0"/>
      <w:divBdr>
        <w:top w:val="none" w:sz="0" w:space="0" w:color="auto"/>
        <w:left w:val="none" w:sz="0" w:space="0" w:color="auto"/>
        <w:bottom w:val="none" w:sz="0" w:space="0" w:color="auto"/>
        <w:right w:val="none" w:sz="0" w:space="0" w:color="auto"/>
      </w:divBdr>
    </w:div>
    <w:div w:id="1145196957">
      <w:bodyDiv w:val="1"/>
      <w:marLeft w:val="0"/>
      <w:marRight w:val="0"/>
      <w:marTop w:val="0"/>
      <w:marBottom w:val="0"/>
      <w:divBdr>
        <w:top w:val="none" w:sz="0" w:space="0" w:color="auto"/>
        <w:left w:val="none" w:sz="0" w:space="0" w:color="auto"/>
        <w:bottom w:val="none" w:sz="0" w:space="0" w:color="auto"/>
        <w:right w:val="none" w:sz="0" w:space="0" w:color="auto"/>
      </w:divBdr>
    </w:div>
    <w:div w:id="1157107272">
      <w:bodyDiv w:val="1"/>
      <w:marLeft w:val="0"/>
      <w:marRight w:val="0"/>
      <w:marTop w:val="0"/>
      <w:marBottom w:val="0"/>
      <w:divBdr>
        <w:top w:val="none" w:sz="0" w:space="0" w:color="auto"/>
        <w:left w:val="none" w:sz="0" w:space="0" w:color="auto"/>
        <w:bottom w:val="none" w:sz="0" w:space="0" w:color="auto"/>
        <w:right w:val="none" w:sz="0" w:space="0" w:color="auto"/>
      </w:divBdr>
    </w:div>
    <w:div w:id="1205672911">
      <w:bodyDiv w:val="1"/>
      <w:marLeft w:val="0"/>
      <w:marRight w:val="0"/>
      <w:marTop w:val="0"/>
      <w:marBottom w:val="0"/>
      <w:divBdr>
        <w:top w:val="none" w:sz="0" w:space="0" w:color="auto"/>
        <w:left w:val="none" w:sz="0" w:space="0" w:color="auto"/>
        <w:bottom w:val="none" w:sz="0" w:space="0" w:color="auto"/>
        <w:right w:val="none" w:sz="0" w:space="0" w:color="auto"/>
      </w:divBdr>
    </w:div>
    <w:div w:id="1383022637">
      <w:bodyDiv w:val="1"/>
      <w:marLeft w:val="0"/>
      <w:marRight w:val="0"/>
      <w:marTop w:val="0"/>
      <w:marBottom w:val="0"/>
      <w:divBdr>
        <w:top w:val="none" w:sz="0" w:space="0" w:color="auto"/>
        <w:left w:val="none" w:sz="0" w:space="0" w:color="auto"/>
        <w:bottom w:val="none" w:sz="0" w:space="0" w:color="auto"/>
        <w:right w:val="none" w:sz="0" w:space="0" w:color="auto"/>
      </w:divBdr>
    </w:div>
    <w:div w:id="1391229003">
      <w:bodyDiv w:val="1"/>
      <w:marLeft w:val="0"/>
      <w:marRight w:val="0"/>
      <w:marTop w:val="0"/>
      <w:marBottom w:val="0"/>
      <w:divBdr>
        <w:top w:val="none" w:sz="0" w:space="0" w:color="auto"/>
        <w:left w:val="none" w:sz="0" w:space="0" w:color="auto"/>
        <w:bottom w:val="none" w:sz="0" w:space="0" w:color="auto"/>
        <w:right w:val="none" w:sz="0" w:space="0" w:color="auto"/>
      </w:divBdr>
    </w:div>
    <w:div w:id="1394540781">
      <w:bodyDiv w:val="1"/>
      <w:marLeft w:val="0"/>
      <w:marRight w:val="0"/>
      <w:marTop w:val="0"/>
      <w:marBottom w:val="0"/>
      <w:divBdr>
        <w:top w:val="none" w:sz="0" w:space="0" w:color="auto"/>
        <w:left w:val="none" w:sz="0" w:space="0" w:color="auto"/>
        <w:bottom w:val="none" w:sz="0" w:space="0" w:color="auto"/>
        <w:right w:val="none" w:sz="0" w:space="0" w:color="auto"/>
      </w:divBdr>
    </w:div>
    <w:div w:id="1401168877">
      <w:bodyDiv w:val="1"/>
      <w:marLeft w:val="0"/>
      <w:marRight w:val="0"/>
      <w:marTop w:val="0"/>
      <w:marBottom w:val="0"/>
      <w:divBdr>
        <w:top w:val="none" w:sz="0" w:space="0" w:color="auto"/>
        <w:left w:val="none" w:sz="0" w:space="0" w:color="auto"/>
        <w:bottom w:val="none" w:sz="0" w:space="0" w:color="auto"/>
        <w:right w:val="none" w:sz="0" w:space="0" w:color="auto"/>
      </w:divBdr>
    </w:div>
    <w:div w:id="1406803080">
      <w:bodyDiv w:val="1"/>
      <w:marLeft w:val="0"/>
      <w:marRight w:val="0"/>
      <w:marTop w:val="0"/>
      <w:marBottom w:val="0"/>
      <w:divBdr>
        <w:top w:val="none" w:sz="0" w:space="0" w:color="auto"/>
        <w:left w:val="none" w:sz="0" w:space="0" w:color="auto"/>
        <w:bottom w:val="none" w:sz="0" w:space="0" w:color="auto"/>
        <w:right w:val="none" w:sz="0" w:space="0" w:color="auto"/>
      </w:divBdr>
    </w:div>
    <w:div w:id="1443257164">
      <w:bodyDiv w:val="1"/>
      <w:marLeft w:val="0"/>
      <w:marRight w:val="0"/>
      <w:marTop w:val="0"/>
      <w:marBottom w:val="0"/>
      <w:divBdr>
        <w:top w:val="none" w:sz="0" w:space="0" w:color="auto"/>
        <w:left w:val="none" w:sz="0" w:space="0" w:color="auto"/>
        <w:bottom w:val="none" w:sz="0" w:space="0" w:color="auto"/>
        <w:right w:val="none" w:sz="0" w:space="0" w:color="auto"/>
      </w:divBdr>
    </w:div>
    <w:div w:id="1552838282">
      <w:bodyDiv w:val="1"/>
      <w:marLeft w:val="0"/>
      <w:marRight w:val="0"/>
      <w:marTop w:val="0"/>
      <w:marBottom w:val="0"/>
      <w:divBdr>
        <w:top w:val="none" w:sz="0" w:space="0" w:color="auto"/>
        <w:left w:val="none" w:sz="0" w:space="0" w:color="auto"/>
        <w:bottom w:val="none" w:sz="0" w:space="0" w:color="auto"/>
        <w:right w:val="none" w:sz="0" w:space="0" w:color="auto"/>
      </w:divBdr>
    </w:div>
    <w:div w:id="1584216818">
      <w:bodyDiv w:val="1"/>
      <w:marLeft w:val="0"/>
      <w:marRight w:val="0"/>
      <w:marTop w:val="0"/>
      <w:marBottom w:val="0"/>
      <w:divBdr>
        <w:top w:val="none" w:sz="0" w:space="0" w:color="auto"/>
        <w:left w:val="none" w:sz="0" w:space="0" w:color="auto"/>
        <w:bottom w:val="none" w:sz="0" w:space="0" w:color="auto"/>
        <w:right w:val="none" w:sz="0" w:space="0" w:color="auto"/>
      </w:divBdr>
    </w:div>
    <w:div w:id="1584955105">
      <w:bodyDiv w:val="1"/>
      <w:marLeft w:val="0"/>
      <w:marRight w:val="0"/>
      <w:marTop w:val="0"/>
      <w:marBottom w:val="0"/>
      <w:divBdr>
        <w:top w:val="none" w:sz="0" w:space="0" w:color="auto"/>
        <w:left w:val="none" w:sz="0" w:space="0" w:color="auto"/>
        <w:bottom w:val="none" w:sz="0" w:space="0" w:color="auto"/>
        <w:right w:val="none" w:sz="0" w:space="0" w:color="auto"/>
      </w:divBdr>
    </w:div>
    <w:div w:id="1636642620">
      <w:bodyDiv w:val="1"/>
      <w:marLeft w:val="0"/>
      <w:marRight w:val="0"/>
      <w:marTop w:val="0"/>
      <w:marBottom w:val="0"/>
      <w:divBdr>
        <w:top w:val="none" w:sz="0" w:space="0" w:color="auto"/>
        <w:left w:val="none" w:sz="0" w:space="0" w:color="auto"/>
        <w:bottom w:val="none" w:sz="0" w:space="0" w:color="auto"/>
        <w:right w:val="none" w:sz="0" w:space="0" w:color="auto"/>
      </w:divBdr>
    </w:div>
    <w:div w:id="1661347538">
      <w:bodyDiv w:val="1"/>
      <w:marLeft w:val="0"/>
      <w:marRight w:val="0"/>
      <w:marTop w:val="0"/>
      <w:marBottom w:val="0"/>
      <w:divBdr>
        <w:top w:val="none" w:sz="0" w:space="0" w:color="auto"/>
        <w:left w:val="none" w:sz="0" w:space="0" w:color="auto"/>
        <w:bottom w:val="none" w:sz="0" w:space="0" w:color="auto"/>
        <w:right w:val="none" w:sz="0" w:space="0" w:color="auto"/>
      </w:divBdr>
    </w:div>
    <w:div w:id="1709642885">
      <w:bodyDiv w:val="1"/>
      <w:marLeft w:val="0"/>
      <w:marRight w:val="0"/>
      <w:marTop w:val="0"/>
      <w:marBottom w:val="0"/>
      <w:divBdr>
        <w:top w:val="none" w:sz="0" w:space="0" w:color="auto"/>
        <w:left w:val="none" w:sz="0" w:space="0" w:color="auto"/>
        <w:bottom w:val="none" w:sz="0" w:space="0" w:color="auto"/>
        <w:right w:val="none" w:sz="0" w:space="0" w:color="auto"/>
      </w:divBdr>
    </w:div>
    <w:div w:id="1776750923">
      <w:bodyDiv w:val="1"/>
      <w:marLeft w:val="0"/>
      <w:marRight w:val="0"/>
      <w:marTop w:val="0"/>
      <w:marBottom w:val="0"/>
      <w:divBdr>
        <w:top w:val="none" w:sz="0" w:space="0" w:color="auto"/>
        <w:left w:val="none" w:sz="0" w:space="0" w:color="auto"/>
        <w:bottom w:val="none" w:sz="0" w:space="0" w:color="auto"/>
        <w:right w:val="none" w:sz="0" w:space="0" w:color="auto"/>
      </w:divBdr>
    </w:div>
    <w:div w:id="1776829210">
      <w:bodyDiv w:val="1"/>
      <w:marLeft w:val="0"/>
      <w:marRight w:val="0"/>
      <w:marTop w:val="0"/>
      <w:marBottom w:val="0"/>
      <w:divBdr>
        <w:top w:val="none" w:sz="0" w:space="0" w:color="auto"/>
        <w:left w:val="none" w:sz="0" w:space="0" w:color="auto"/>
        <w:bottom w:val="none" w:sz="0" w:space="0" w:color="auto"/>
        <w:right w:val="none" w:sz="0" w:space="0" w:color="auto"/>
      </w:divBdr>
    </w:div>
    <w:div w:id="1778527128">
      <w:bodyDiv w:val="1"/>
      <w:marLeft w:val="0"/>
      <w:marRight w:val="0"/>
      <w:marTop w:val="0"/>
      <w:marBottom w:val="0"/>
      <w:divBdr>
        <w:top w:val="none" w:sz="0" w:space="0" w:color="auto"/>
        <w:left w:val="none" w:sz="0" w:space="0" w:color="auto"/>
        <w:bottom w:val="none" w:sz="0" w:space="0" w:color="auto"/>
        <w:right w:val="none" w:sz="0" w:space="0" w:color="auto"/>
      </w:divBdr>
    </w:div>
    <w:div w:id="1839691933">
      <w:bodyDiv w:val="1"/>
      <w:marLeft w:val="0"/>
      <w:marRight w:val="0"/>
      <w:marTop w:val="0"/>
      <w:marBottom w:val="0"/>
      <w:divBdr>
        <w:top w:val="none" w:sz="0" w:space="0" w:color="auto"/>
        <w:left w:val="none" w:sz="0" w:space="0" w:color="auto"/>
        <w:bottom w:val="none" w:sz="0" w:space="0" w:color="auto"/>
        <w:right w:val="none" w:sz="0" w:space="0" w:color="auto"/>
      </w:divBdr>
    </w:div>
    <w:div w:id="1883208140">
      <w:bodyDiv w:val="1"/>
      <w:marLeft w:val="0"/>
      <w:marRight w:val="0"/>
      <w:marTop w:val="0"/>
      <w:marBottom w:val="0"/>
      <w:divBdr>
        <w:top w:val="none" w:sz="0" w:space="0" w:color="auto"/>
        <w:left w:val="none" w:sz="0" w:space="0" w:color="auto"/>
        <w:bottom w:val="none" w:sz="0" w:space="0" w:color="auto"/>
        <w:right w:val="none" w:sz="0" w:space="0" w:color="auto"/>
      </w:divBdr>
    </w:div>
    <w:div w:id="1954939685">
      <w:bodyDiv w:val="1"/>
      <w:marLeft w:val="0"/>
      <w:marRight w:val="0"/>
      <w:marTop w:val="0"/>
      <w:marBottom w:val="0"/>
      <w:divBdr>
        <w:top w:val="none" w:sz="0" w:space="0" w:color="auto"/>
        <w:left w:val="none" w:sz="0" w:space="0" w:color="auto"/>
        <w:bottom w:val="none" w:sz="0" w:space="0" w:color="auto"/>
        <w:right w:val="none" w:sz="0" w:space="0" w:color="auto"/>
      </w:divBdr>
    </w:div>
    <w:div w:id="1978532789">
      <w:bodyDiv w:val="1"/>
      <w:marLeft w:val="0"/>
      <w:marRight w:val="0"/>
      <w:marTop w:val="0"/>
      <w:marBottom w:val="0"/>
      <w:divBdr>
        <w:top w:val="none" w:sz="0" w:space="0" w:color="auto"/>
        <w:left w:val="none" w:sz="0" w:space="0" w:color="auto"/>
        <w:bottom w:val="none" w:sz="0" w:space="0" w:color="auto"/>
        <w:right w:val="none" w:sz="0" w:space="0" w:color="auto"/>
      </w:divBdr>
    </w:div>
    <w:div w:id="1991595752">
      <w:bodyDiv w:val="1"/>
      <w:marLeft w:val="0"/>
      <w:marRight w:val="0"/>
      <w:marTop w:val="0"/>
      <w:marBottom w:val="0"/>
      <w:divBdr>
        <w:top w:val="none" w:sz="0" w:space="0" w:color="auto"/>
        <w:left w:val="none" w:sz="0" w:space="0" w:color="auto"/>
        <w:bottom w:val="none" w:sz="0" w:space="0" w:color="auto"/>
        <w:right w:val="none" w:sz="0" w:space="0" w:color="auto"/>
      </w:divBdr>
    </w:div>
    <w:div w:id="213628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AC42C-4132-44FE-AB44-CE74888B1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13</Pages>
  <Words>4912</Words>
  <Characters>28003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Qinaya Azahra</dc:creator>
  <cp:keywords>docId:79B847AB84805E04F7B5BA4A4B28085A</cp:keywords>
  <dc:description/>
  <cp:lastModifiedBy>Fajar Dwi Kuncoro</cp:lastModifiedBy>
  <cp:revision>18</cp:revision>
  <cp:lastPrinted>2024-06-20T16:10:00Z</cp:lastPrinted>
  <dcterms:created xsi:type="dcterms:W3CDTF">2025-09-24T03:32:00Z</dcterms:created>
  <dcterms:modified xsi:type="dcterms:W3CDTF">2025-09-30T05:36:00Z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d8f37310-5a0d-41c1-b900-3cc858e34968</vt:lpwstr>
  </property>
</Properties>
</file>