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96E3" w14:textId="15D0673E" w:rsidR="00A13CC2" w:rsidRPr="00F16930" w:rsidRDefault="0095200F" w:rsidP="0095200F">
      <w:pPr>
        <w:spacing w:after="0" w:line="240" w:lineRule="auto"/>
        <w:ind w:left="0" w:firstLine="0"/>
        <w:jc w:val="center"/>
        <w:rPr>
          <w:rFonts w:ascii="Nirmala UI Semilight" w:eastAsia="Leelawadee UI" w:hAnsi="Nirmala UI Semilight" w:cs="Nirmala UI Semilight"/>
          <w:b/>
          <w:sz w:val="36"/>
          <w:szCs w:val="36"/>
        </w:rPr>
      </w:pPr>
      <w:bookmarkStart w:id="0" w:name="_Hlk209965277"/>
      <w:r w:rsidRPr="00F16930">
        <w:rPr>
          <w:rFonts w:ascii="Nirmala UI Semilight" w:eastAsia="Leelawadee UI" w:hAnsi="Nirmala UI Semilight" w:cs="Nirmala UI Semilight"/>
          <w:b/>
          <w:sz w:val="36"/>
          <w:szCs w:val="36"/>
        </w:rPr>
        <w:t>THE INFLUENCE OF CEO TENURE, FINANCIAL DISTRESS, AND SALES GROWTH ON TAX AVOIDANCE (STUDY OF NON-CYCLICAL CONSUMER SECTOR COMPANIES LISTED ON THE INDONESIAN STOCK EXCHANGE IN 2020-2022)</w:t>
      </w:r>
      <w:bookmarkEnd w:id="0"/>
    </w:p>
    <w:p w14:paraId="5C3273D4" w14:textId="77777777" w:rsidR="00C6266C" w:rsidRPr="00275C12" w:rsidRDefault="00C6266C" w:rsidP="00BC7E3D">
      <w:pPr>
        <w:spacing w:after="0" w:line="240" w:lineRule="auto"/>
        <w:ind w:left="0" w:firstLine="0"/>
        <w:jc w:val="center"/>
        <w:rPr>
          <w:rFonts w:ascii="Nirmala UI Semilight" w:eastAsia="Leelawadee UI" w:hAnsi="Nirmala UI Semilight" w:cs="Nirmala UI Semilight"/>
          <w:b/>
          <w:sz w:val="24"/>
          <w:szCs w:val="24"/>
        </w:rPr>
      </w:pPr>
    </w:p>
    <w:p w14:paraId="1692857A" w14:textId="430AADB1" w:rsidR="00A13CC2" w:rsidRPr="00275C12" w:rsidRDefault="0095200F">
      <w:pPr>
        <w:spacing w:after="0" w:line="240" w:lineRule="auto"/>
        <w:ind w:left="0" w:firstLine="0"/>
        <w:jc w:val="center"/>
        <w:rPr>
          <w:rFonts w:ascii="Nirmala UI Semilight" w:eastAsia="Leelawadee UI Semilight" w:hAnsi="Nirmala UI Semilight" w:cs="Nirmala UI Semilight"/>
          <w:sz w:val="24"/>
          <w:szCs w:val="24"/>
          <w:vertAlign w:val="superscript"/>
        </w:rPr>
      </w:pPr>
      <w:r w:rsidRPr="00275C12">
        <w:rPr>
          <w:rFonts w:ascii="Nirmala UI Semilight" w:eastAsia="Leelawadee UI Semilight" w:hAnsi="Nirmala UI Semilight" w:cs="Nirmala UI Semilight"/>
          <w:sz w:val="24"/>
          <w:szCs w:val="24"/>
        </w:rPr>
        <w:t>Viramashita Ellena Fauzia</w:t>
      </w:r>
      <w:r w:rsidR="00880E50" w:rsidRPr="00275C12">
        <w:rPr>
          <w:rFonts w:ascii="Nirmala UI Semilight" w:eastAsia="Leelawadee UI Semilight" w:hAnsi="Nirmala UI Semilight" w:cs="Nirmala UI Semilight"/>
          <w:sz w:val="24"/>
          <w:szCs w:val="24"/>
          <w:vertAlign w:val="superscript"/>
        </w:rPr>
        <w:t>1</w:t>
      </w:r>
      <w:r w:rsidR="00787947" w:rsidRPr="00275C12">
        <w:rPr>
          <w:rFonts w:ascii="Nirmala UI Semilight" w:eastAsia="Leelawadee UI Semilight" w:hAnsi="Nirmala UI Semilight" w:cs="Nirmala UI Semilight"/>
          <w:sz w:val="24"/>
          <w:szCs w:val="24"/>
        </w:rPr>
        <w:t xml:space="preserve">, </w:t>
      </w:r>
      <w:r w:rsidRPr="00275C12">
        <w:rPr>
          <w:rFonts w:ascii="Nirmala UI Semilight" w:eastAsia="Leelawadee UI Semilight" w:hAnsi="Nirmala UI Semilight" w:cs="Nirmala UI Semilight"/>
          <w:sz w:val="24"/>
          <w:szCs w:val="24"/>
        </w:rPr>
        <w:t>Sutrisno T</w:t>
      </w:r>
      <w:r w:rsidR="00880E50" w:rsidRPr="00275C12">
        <w:rPr>
          <w:rFonts w:ascii="Nirmala UI Semilight" w:eastAsia="Leelawadee UI Semilight" w:hAnsi="Nirmala UI Semilight" w:cs="Nirmala UI Semilight"/>
          <w:sz w:val="24"/>
          <w:szCs w:val="24"/>
          <w:vertAlign w:val="superscript"/>
        </w:rPr>
        <w:t>2</w:t>
      </w:r>
    </w:p>
    <w:p w14:paraId="3170C2AF" w14:textId="5214C300" w:rsidR="00A13CC2" w:rsidRPr="00275C12" w:rsidRDefault="00000000">
      <w:pPr>
        <w:spacing w:after="0" w:line="240" w:lineRule="auto"/>
        <w:ind w:left="0" w:firstLine="0"/>
        <w:jc w:val="center"/>
        <w:rPr>
          <w:rFonts w:ascii="Nirmala UI Semilight" w:eastAsia="Leelawadee UI Semilight" w:hAnsi="Nirmala UI Semilight" w:cs="Nirmala UI Semilight"/>
          <w:i/>
          <w:sz w:val="20"/>
          <w:szCs w:val="20"/>
        </w:rPr>
      </w:pPr>
      <w:r w:rsidRPr="00275C12">
        <w:rPr>
          <w:rFonts w:ascii="Nirmala UI Semilight" w:eastAsia="Leelawadee UI Semilight" w:hAnsi="Nirmala UI Semilight" w:cs="Nirmala UI Semilight"/>
          <w:sz w:val="20"/>
          <w:szCs w:val="20"/>
          <w:vertAlign w:val="superscript"/>
        </w:rPr>
        <w:t>1</w:t>
      </w:r>
      <w:r w:rsidR="00880E50" w:rsidRPr="00275C12">
        <w:rPr>
          <w:rFonts w:ascii="Nirmala UI Semilight" w:eastAsia="Leelawadee UI Semilight" w:hAnsi="Nirmala UI Semilight" w:cs="Nirmala UI Semilight"/>
          <w:sz w:val="20"/>
          <w:szCs w:val="20"/>
          <w:vertAlign w:val="superscript"/>
        </w:rPr>
        <w:t>,2</w:t>
      </w:r>
      <w:r w:rsidR="00D3170E" w:rsidRPr="00275C12">
        <w:rPr>
          <w:rFonts w:ascii="Nirmala UI Semilight" w:eastAsia="Leelawadee UI Semilight" w:hAnsi="Nirmala UI Semilight" w:cs="Nirmala UI Semilight"/>
          <w:i/>
          <w:sz w:val="20"/>
          <w:szCs w:val="20"/>
        </w:rPr>
        <w:t>Accounting Department, Faculty of Economics and Business, University of Brawijaya, Indonesia</w:t>
      </w:r>
    </w:p>
    <w:p w14:paraId="4DE98672" w14:textId="77777777" w:rsidR="00AD2E70" w:rsidRPr="00275C12" w:rsidRDefault="00AD2E70" w:rsidP="00D64FDF">
      <w:pPr>
        <w:spacing w:after="0" w:line="240" w:lineRule="auto"/>
        <w:ind w:left="0" w:firstLine="0"/>
        <w:jc w:val="left"/>
        <w:rPr>
          <w:rFonts w:ascii="Nirmala UI Semilight" w:eastAsia="Leelawadee UI Semilight" w:hAnsi="Nirmala UI Semilight" w:cs="Nirmala UI Semilight"/>
          <w:iCs/>
          <w:sz w:val="24"/>
          <w:szCs w:val="24"/>
        </w:rPr>
      </w:pPr>
    </w:p>
    <w:p w14:paraId="12D79936" w14:textId="63D4FC2C" w:rsidR="00A13CC2" w:rsidRPr="00275C1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275C12">
        <w:rPr>
          <w:rFonts w:ascii="Nirmala UI Semilight" w:hAnsi="Nirmala UI Semilight" w:cs="Nirmala UI Semilight"/>
          <w:b/>
          <w:bCs/>
          <w:color w:val="000000"/>
          <w:sz w:val="22"/>
          <w:szCs w:val="22"/>
        </w:rPr>
        <w:t xml:space="preserve">Abstract. </w:t>
      </w:r>
      <w:r w:rsidR="0095200F" w:rsidRPr="00275C12">
        <w:rPr>
          <w:rFonts w:ascii="Nirmala UI Semilight" w:hAnsi="Nirmala UI Semilight" w:cs="Nirmala UI Semilight"/>
          <w:color w:val="000000"/>
          <w:sz w:val="22"/>
          <w:szCs w:val="22"/>
        </w:rPr>
        <w:t>Tax avoidance, a major issue in Indonesia to date, is responsible for the lower tax ratio compared to other ASEAN countries and the country's losses. As such, this research aims to provide the empirical evidence of the effect of CEO tenure, financial distress, and sales growth on tax avoidance. The population includes consumer non-cyclicals companies listed on the Indonesia Stock Exchange for the period of 2020 - 2022, from which 102 samples of 34 companies were selected through purposive sampling, and analyzed by panel data utilizing a fixed effect model processed by E-views 12. The results of this research exhibit that financial distress has a positive effect on tax avoidance, and CEO tenure and sales growth have no effect on tax avoidance.</w:t>
      </w:r>
    </w:p>
    <w:p w14:paraId="741D5F44" w14:textId="77777777" w:rsidR="00B9655B" w:rsidRPr="00275C12" w:rsidRDefault="00B9655B" w:rsidP="00B9655B">
      <w:pPr>
        <w:pStyle w:val="NormalWeb"/>
        <w:spacing w:before="0" w:beforeAutospacing="0" w:after="120" w:afterAutospacing="0"/>
        <w:jc w:val="both"/>
        <w:rPr>
          <w:rFonts w:ascii="Nirmala UI Semilight" w:hAnsi="Nirmala UI Semilight" w:cs="Nirmala UI Semilight"/>
        </w:rPr>
      </w:pPr>
    </w:p>
    <w:p w14:paraId="25DCABD1" w14:textId="415D4310" w:rsidR="00A13CC2" w:rsidRPr="00275C1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275C12">
        <w:rPr>
          <w:rFonts w:ascii="Nirmala UI Semilight" w:hAnsi="Nirmala UI Semilight" w:cs="Nirmala UI Semilight"/>
          <w:b/>
          <w:bCs/>
          <w:color w:val="000000"/>
          <w:sz w:val="22"/>
          <w:szCs w:val="22"/>
        </w:rPr>
        <w:t xml:space="preserve">Keywords: </w:t>
      </w:r>
      <w:r w:rsidR="0095200F" w:rsidRPr="00275C12">
        <w:rPr>
          <w:rFonts w:ascii="Nirmala UI Semilight" w:hAnsi="Nirmala UI Semilight" w:cs="Nirmala UI Semilight"/>
          <w:color w:val="000000"/>
          <w:sz w:val="22"/>
          <w:szCs w:val="22"/>
        </w:rPr>
        <w:t>CEO Tenure</w:t>
      </w:r>
      <w:r w:rsidR="00002595">
        <w:rPr>
          <w:rFonts w:ascii="Nirmala UI Semilight" w:hAnsi="Nirmala UI Semilight" w:cs="Nirmala UI Semilight"/>
          <w:color w:val="000000"/>
          <w:sz w:val="22"/>
          <w:szCs w:val="22"/>
        </w:rPr>
        <w:t xml:space="preserve">, </w:t>
      </w:r>
      <w:r w:rsidR="0095200F" w:rsidRPr="00275C12">
        <w:rPr>
          <w:rFonts w:ascii="Nirmala UI Semilight" w:hAnsi="Nirmala UI Semilight" w:cs="Nirmala UI Semilight"/>
          <w:color w:val="000000"/>
          <w:sz w:val="22"/>
          <w:szCs w:val="22"/>
        </w:rPr>
        <w:t>Consumer Non-Cyclicals</w:t>
      </w:r>
      <w:r w:rsidR="00002595">
        <w:rPr>
          <w:rFonts w:ascii="Nirmala UI Semilight" w:hAnsi="Nirmala UI Semilight" w:cs="Nirmala UI Semilight"/>
          <w:color w:val="000000"/>
          <w:sz w:val="22"/>
          <w:szCs w:val="22"/>
        </w:rPr>
        <w:t>,</w:t>
      </w:r>
      <w:r w:rsidR="0095200F" w:rsidRPr="00275C12">
        <w:rPr>
          <w:rFonts w:ascii="Nirmala UI Semilight" w:hAnsi="Nirmala UI Semilight" w:cs="Nirmala UI Semilight"/>
          <w:color w:val="000000"/>
          <w:sz w:val="22"/>
          <w:szCs w:val="22"/>
        </w:rPr>
        <w:t xml:space="preserve"> Financial Distress</w:t>
      </w:r>
      <w:r w:rsidR="00002595">
        <w:rPr>
          <w:rFonts w:ascii="Nirmala UI Semilight" w:hAnsi="Nirmala UI Semilight" w:cs="Nirmala UI Semilight"/>
          <w:color w:val="000000"/>
          <w:sz w:val="22"/>
          <w:szCs w:val="22"/>
        </w:rPr>
        <w:t>,</w:t>
      </w:r>
      <w:r w:rsidR="0095200F" w:rsidRPr="00275C12">
        <w:rPr>
          <w:rFonts w:ascii="Nirmala UI Semilight" w:hAnsi="Nirmala UI Semilight" w:cs="Nirmala UI Semilight"/>
          <w:color w:val="000000"/>
          <w:sz w:val="22"/>
          <w:szCs w:val="22"/>
        </w:rPr>
        <w:t xml:space="preserve"> Sales Growth</w:t>
      </w:r>
      <w:r w:rsidR="00002595">
        <w:rPr>
          <w:rFonts w:ascii="Nirmala UI Semilight" w:hAnsi="Nirmala UI Semilight" w:cs="Nirmala UI Semilight"/>
          <w:color w:val="000000"/>
          <w:sz w:val="22"/>
          <w:szCs w:val="22"/>
        </w:rPr>
        <w:t>,</w:t>
      </w:r>
      <w:r w:rsidR="0095200F" w:rsidRPr="00275C12">
        <w:rPr>
          <w:rFonts w:ascii="Nirmala UI Semilight" w:hAnsi="Nirmala UI Semilight" w:cs="Nirmala UI Semilight"/>
          <w:color w:val="000000"/>
          <w:sz w:val="22"/>
          <w:szCs w:val="22"/>
        </w:rPr>
        <w:t xml:space="preserve"> Tax Avoidance</w:t>
      </w:r>
    </w:p>
    <w:p w14:paraId="1DB82AFF" w14:textId="77777777" w:rsidR="00A13CC2" w:rsidRPr="00275C12" w:rsidRDefault="00000000">
      <w:pPr>
        <w:pStyle w:val="Heading1"/>
        <w:numPr>
          <w:ilvl w:val="0"/>
          <w:numId w:val="22"/>
        </w:numPr>
        <w:tabs>
          <w:tab w:val="left" w:pos="284"/>
        </w:tabs>
        <w:spacing w:before="240" w:beforeAutospacing="0" w:after="120" w:afterAutospacing="0"/>
        <w:ind w:left="720"/>
        <w:rPr>
          <w:rStyle w:val="Heading1Char"/>
          <w:rFonts w:ascii="Nirmala UI Semilight" w:eastAsiaTheme="minorHAnsi" w:hAnsi="Nirmala UI Semilight" w:cs="Nirmala UI Semilight"/>
          <w:b/>
          <w:bCs/>
          <w:sz w:val="22"/>
          <w:szCs w:val="22"/>
        </w:rPr>
      </w:pPr>
      <w:r w:rsidRPr="00275C12">
        <w:rPr>
          <w:rStyle w:val="Heading1Char"/>
          <w:rFonts w:ascii="Nirmala UI Semilight" w:hAnsi="Nirmala UI Semilight" w:cs="Nirmala UI Semilight"/>
          <w:b/>
          <w:bCs/>
          <w:sz w:val="22"/>
          <w:szCs w:val="22"/>
        </w:rPr>
        <w:t>INTRODUCTION</w:t>
      </w:r>
    </w:p>
    <w:p w14:paraId="56CA620C" w14:textId="49DFBEE0" w:rsidR="00FA4C01" w:rsidRPr="00275C12" w:rsidRDefault="00000000" w:rsidP="00FA4C0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FA4C01" w:rsidRPr="00275C12">
        <w:rPr>
          <w:rFonts w:ascii="Nirmala UI Semilight" w:eastAsia="Times New Roman" w:hAnsi="Nirmala UI Semilight" w:cs="Nirmala UI Semilight"/>
          <w:color w:val="000000"/>
        </w:rPr>
        <w:t>Taxes are the main source of state revenue that plays an important role in supporting national development. However, the practice of tax avoidance is still a crucial problem in Indonesia. Tax avoidance is an effort by taxpayers, both individuals and corporations, to reduce the tax burden by utilizing loopholes in tax regulations. Although this practice does not legally violate the provisions, it is considered ethically unacceptable because it has a direct impact on low state tax revenue (Jusman &amp; Nosita, 2020).</w:t>
      </w:r>
    </w:p>
    <w:p w14:paraId="4C3FB430" w14:textId="4E5C1875" w:rsidR="00FA4C01" w:rsidRPr="00275C12" w:rsidRDefault="000D0819" w:rsidP="00FA4C0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FA4C01" w:rsidRPr="00275C12">
        <w:rPr>
          <w:rFonts w:ascii="Nirmala UI Semilight" w:eastAsia="Times New Roman" w:hAnsi="Nirmala UI Semilight" w:cs="Nirmala UI Semilight"/>
          <w:color w:val="000000"/>
        </w:rPr>
        <w:t>The 2024 Revenue Statistics in Asian and Pacific Economies report published by the OECD shows that Indonesia's tax ratio to Gross Domestic Product (GDP) is still at the lowest level compared to OECD member countries and the Asia Pacific region. This low tax ratio is influenced by various factors, such as high levels of tax avoidance, low taxpayer compliance, and the pressure of economic conditions (Budiasih &amp; Rusung, 2019; Cahyono, 2017; Saragih, 2018). This phenomenon is further exacerbated by the impact of the Covid-19 pandemic which has caused many companies to experience a decline in performance and attempt to reduce the tax burden through tax avoidance practices.</w:t>
      </w:r>
    </w:p>
    <w:p w14:paraId="1B65B9ED" w14:textId="64320E14" w:rsidR="00FA4C01" w:rsidRPr="00275C12" w:rsidRDefault="000D0819" w:rsidP="00FA4C0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FA4C01" w:rsidRPr="00275C12">
        <w:rPr>
          <w:rFonts w:ascii="Nirmala UI Semilight" w:eastAsia="Times New Roman" w:hAnsi="Nirmala UI Semilight" w:cs="Nirmala UI Semilight"/>
          <w:color w:val="000000"/>
        </w:rPr>
        <w:t xml:space="preserve">The consumer non-cyclicals sector, which dominates the Indonesian capital market with a portion of 13.7% of total listed companies (Nurahmad, 2023), is one of the sectors that is vulnerable to tax avoidance practices. This is due to the large capital requirements, the vast market share, and the real cases of tax avoidance carried out by companies in this sector, for </w:t>
      </w:r>
      <w:r w:rsidR="00FA4C01" w:rsidRPr="00275C12">
        <w:rPr>
          <w:rFonts w:ascii="Nirmala UI Semilight" w:eastAsia="Times New Roman" w:hAnsi="Nirmala UI Semilight" w:cs="Nirmala UI Semilight"/>
          <w:color w:val="000000"/>
        </w:rPr>
        <w:lastRenderedPageBreak/>
        <w:t>example the tax dispute involving PT Japfa Comfeed Indonesia Tbk (Sindonews, 2020). These conditions indicate that tax avoidance practices in consumer non-cyclicals companies are an important issue for further research.</w:t>
      </w:r>
    </w:p>
    <w:p w14:paraId="4A15949D" w14:textId="5DCAF809" w:rsidR="00FA4C01" w:rsidRPr="00275C12" w:rsidRDefault="000D0819" w:rsidP="00FA4C0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FA4C01" w:rsidRPr="00275C12">
        <w:rPr>
          <w:rFonts w:ascii="Nirmala UI Semilight" w:eastAsia="Times New Roman" w:hAnsi="Nirmala UI Semilight" w:cs="Nirmala UI Semilight"/>
          <w:color w:val="000000"/>
        </w:rPr>
        <w:t>A number of previous studies have examined factors that influence tax avoidance, such as CEO tenure, financial distress, and sales growth. However, the research results still show inconsistencies. For example, research by Ulfa et al. (2021) found that CEO tenure has a positive effect on tax avoidance, while Doho &amp; Santoso (2020) stated that the effect is negative, and Noviawan &amp; Utamie (2020) found no significant effect. The same thing also happened in research on financial distress and sales growth which produced different findings (Sadjiarto et al., 2020; Ariff et al., 2023; Afrianti et al., 2022; Akbar et al., 2020; Hermi &amp; Petrawati, 2023).</w:t>
      </w:r>
    </w:p>
    <w:p w14:paraId="62FFD55D" w14:textId="47FF5459" w:rsidR="00FA4C01" w:rsidRPr="00275C12" w:rsidRDefault="000D0819" w:rsidP="00FA4C0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FA4C01" w:rsidRPr="00275C12">
        <w:rPr>
          <w:rFonts w:ascii="Nirmala UI Semilight" w:eastAsia="Times New Roman" w:hAnsi="Nirmala UI Semilight" w:cs="Nirmala UI Semilight"/>
          <w:color w:val="000000"/>
        </w:rPr>
        <w:t>The differences in the results of these studies indicate that there are still research gaps that need to be studied further. This study comes to fill this gap by examining the effect of CEO tenure, financial distress, and sales growth on tax avoidance in non-cyclical consumer sector companies listed on the Indonesia Stock Exchange for the period 2020-2022. This period was chosen because it reflects the fluctuating conditions due to the Covid-19 pandemic to the post-pandemic transition period, which affects the company's strategy in managing the tax burden.</w:t>
      </w:r>
    </w:p>
    <w:p w14:paraId="2FF6BE10" w14:textId="0F2C0672" w:rsidR="009447B7" w:rsidRPr="00275C12" w:rsidRDefault="000D0819" w:rsidP="00FA4C0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FA4C01" w:rsidRPr="00275C12">
        <w:rPr>
          <w:rFonts w:ascii="Nirmala UI Semilight" w:eastAsia="Times New Roman" w:hAnsi="Nirmala UI Semilight" w:cs="Nirmala UI Semilight"/>
          <w:color w:val="000000"/>
        </w:rPr>
        <w:t>By adopting positive accounting theory, this study seeks to provide a new understanding of management behavior in determining tax policy. The results of the study are expected to make a theoretical contribution to the development of tax accounting literature as well as a practical contribution to tax authorities and companies in an effort to improve tax compliance in Indonesia.</w:t>
      </w:r>
    </w:p>
    <w:p w14:paraId="68A6439F" w14:textId="77777777" w:rsidR="009447B7" w:rsidRPr="00275C12" w:rsidRDefault="009447B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6E08CCF" w14:textId="77777777" w:rsidR="00A13CC2" w:rsidRPr="00275C1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sidRPr="00275C12">
        <w:rPr>
          <w:rFonts w:ascii="Nirmala UI Semilight" w:hAnsi="Nirmala UI Semilight" w:cs="Nirmala UI Semilight"/>
          <w:sz w:val="22"/>
          <w:szCs w:val="22"/>
        </w:rPr>
        <w:t xml:space="preserve">LITERATURE </w:t>
      </w:r>
      <w:r w:rsidR="00924886" w:rsidRPr="00275C12">
        <w:rPr>
          <w:rFonts w:ascii="Nirmala UI Semilight" w:hAnsi="Nirmala UI Semilight" w:cs="Nirmala UI Semilight"/>
          <w:sz w:val="22"/>
          <w:szCs w:val="22"/>
        </w:rPr>
        <w:t xml:space="preserve">REVIEW </w:t>
      </w:r>
    </w:p>
    <w:p w14:paraId="0F8696C7" w14:textId="4A531099" w:rsidR="00A13CC2" w:rsidRPr="00275C12" w:rsidRDefault="00D20AEA">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Positive Accounting Theory</w:t>
      </w:r>
    </w:p>
    <w:p w14:paraId="3952FEE6" w14:textId="0BBC64A2" w:rsidR="00A13CC2" w:rsidRPr="00275C12" w:rsidRDefault="0000000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D20AEA" w:rsidRPr="00275C12">
        <w:rPr>
          <w:rFonts w:ascii="Nirmala UI Semilight" w:eastAsia="Times New Roman" w:hAnsi="Nirmala UI Semilight" w:cs="Nirmala UI Semilight"/>
          <w:color w:val="000000"/>
        </w:rPr>
        <w:t>Positive Accounting Theory introduced by Watts and Zimmerman (1986) explains and predicts the consequences of accounting policy choices made by managers. This theory assumes that individuals tend to act opportunistically to increase their wealth, so that companies that are seen as a nexus of contracts try to minimize contracting costs through the selection of certain accounting methods. In PAT there are three main hypotheses, namely bonus plan hypothesis, debt covenant hypothesis, and political cost hypothesis. The bonus hypothesis states that managers choose accounting methods that can increase profits to obtain bonuses, while the debt covenant hypothesis explains that companies tend to report higher profits so as not to violate debt agreements. Meanwhile, the political cost hypothesis argues that large companies with high profits will try to lower profits to reduce the attention of regulators and reduce political costs, including the tax burden. Taxes are seen as a form of political cost, so large companies with high profits tend to practice tax avoidance to reduce this burden (Zimmerman, 1983; Rego, 2003). Furthermore, PAT also highlights agency problems that arise due to conflicts of interest between managers, owners, creditors, and the government. This difference in interests creates information asymmetry that can lead to moral hazard, where managers have the potential to make decisions that benefit themselves but harm other parties (Belkaoui, 2000; Deegan, 2014).</w:t>
      </w:r>
    </w:p>
    <w:p w14:paraId="37296069" w14:textId="77777777"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0996A5" w14:textId="5C03A00E" w:rsidR="00A13CC2" w:rsidRPr="00275C12" w:rsidRDefault="00433F7E">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Agency Theory</w:t>
      </w:r>
    </w:p>
    <w:p w14:paraId="4AE510A8" w14:textId="3D14C032" w:rsidR="00A13CC2" w:rsidRPr="00275C12" w:rsidRDefault="0000000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433F7E" w:rsidRPr="00275C12">
        <w:rPr>
          <w:rFonts w:ascii="Nirmala UI Semilight" w:eastAsia="Times New Roman" w:hAnsi="Nirmala UI Semilight" w:cs="Nirmala UI Semilight"/>
          <w:color w:val="000000"/>
        </w:rPr>
        <w:t xml:space="preserve">Agency theory proposed by Jensen and Meckling (1976) explains the relationship between principals and agents arising from the separation of ownership and management of the company. Agents as company managers have a responsibility to make the principal </w:t>
      </w:r>
      <w:r w:rsidR="00433F7E" w:rsidRPr="00275C12">
        <w:rPr>
          <w:rFonts w:ascii="Nirmala UI Semilight" w:eastAsia="Times New Roman" w:hAnsi="Nirmala UI Semilight" w:cs="Nirmala UI Semilight"/>
          <w:color w:val="000000"/>
        </w:rPr>
        <w:lastRenderedPageBreak/>
        <w:t>prosperous, but in practice they also tend to pursue personal interests, causing conflicts of interest. This difference in interest is further strengthened by the existence of information asymmetry, where agents control more internal company information than principals and other stakeholders (Ross, 1973). This condition has the potential to cause moral hazard, which is when the agent acts outside the contract or norms that harm the principal. In the context of tax avoidance, the conflict occurs because management as an agent tries to minimize the tax burden to increase profits, while the principal wants a sustainable increase in company value (Fama &amp; Jensen, 1983). Information inequality makes it difficult for principals to monitor agent activities, so that additional costs are needed to control the conflict of interest (Crutchley &amp; Hansen, 1989). Thus, agency theory becomes relevant to explain opportunistic practices such as tax avoidance by companies.</w:t>
      </w:r>
    </w:p>
    <w:p w14:paraId="070202A9" w14:textId="77777777"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0BCD944" w14:textId="15638EC2" w:rsidR="00A13CC2" w:rsidRPr="00275C12" w:rsidRDefault="00433F7E">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Tax Planning</w:t>
      </w:r>
    </w:p>
    <w:p w14:paraId="3D3216C8" w14:textId="2C949C46" w:rsidR="00787947" w:rsidRPr="00275C12" w:rsidRDefault="00000000" w:rsidP="00433F7E">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433F7E" w:rsidRPr="00275C12">
        <w:rPr>
          <w:rFonts w:ascii="Nirmala UI Semilight" w:eastAsia="Times New Roman" w:hAnsi="Nirmala UI Semilight" w:cs="Nirmala UI Semilight"/>
          <w:i/>
          <w:iCs/>
          <w:color w:val="000000"/>
        </w:rPr>
        <w:t xml:space="preserve">Tax </w:t>
      </w:r>
      <w:r w:rsidR="00433F7E" w:rsidRPr="00275C12">
        <w:rPr>
          <w:rFonts w:ascii="Nirmala UI Semilight" w:eastAsia="Times New Roman" w:hAnsi="Nirmala UI Semilight" w:cs="Nirmala UI Semilight"/>
          <w:color w:val="000000"/>
        </w:rPr>
        <w:t xml:space="preserve">planning is a strategy used by taxpayers to manage financial activities so that the tax burden paid can be minimized (Lietz, 2013). This concept includes various forms such as </w:t>
      </w:r>
      <w:r w:rsidR="00433F7E" w:rsidRPr="00275C12">
        <w:rPr>
          <w:rFonts w:ascii="Nirmala UI Semilight" w:eastAsia="Times New Roman" w:hAnsi="Nirmala UI Semilight" w:cs="Nirmala UI Semilight"/>
          <w:i/>
          <w:iCs/>
          <w:color w:val="000000"/>
        </w:rPr>
        <w:t>tax avoidance</w:t>
      </w:r>
      <w:r w:rsidR="00433F7E" w:rsidRPr="00275C12">
        <w:rPr>
          <w:rFonts w:ascii="Nirmala UI Semilight" w:eastAsia="Times New Roman" w:hAnsi="Nirmala UI Semilight" w:cs="Nirmala UI Semilight"/>
          <w:color w:val="000000"/>
        </w:rPr>
        <w:t xml:space="preserve">, </w:t>
      </w:r>
      <w:r w:rsidR="00433F7E" w:rsidRPr="00275C12">
        <w:rPr>
          <w:rFonts w:ascii="Nirmala UI Semilight" w:eastAsia="Times New Roman" w:hAnsi="Nirmala UI Semilight" w:cs="Nirmala UI Semilight"/>
          <w:i/>
          <w:iCs/>
          <w:color w:val="000000"/>
        </w:rPr>
        <w:t>tax aggressiveness</w:t>
      </w:r>
      <w:r w:rsidR="00433F7E" w:rsidRPr="00275C12">
        <w:rPr>
          <w:rFonts w:ascii="Nirmala UI Semilight" w:eastAsia="Times New Roman" w:hAnsi="Nirmala UI Semilight" w:cs="Nirmala UI Semilight"/>
          <w:color w:val="000000"/>
        </w:rPr>
        <w:t xml:space="preserve">, and </w:t>
      </w:r>
      <w:r w:rsidR="00433F7E" w:rsidRPr="00275C12">
        <w:rPr>
          <w:rFonts w:ascii="Nirmala UI Semilight" w:eastAsia="Times New Roman" w:hAnsi="Nirmala UI Semilight" w:cs="Nirmala UI Semilight"/>
          <w:i/>
          <w:iCs/>
          <w:color w:val="000000"/>
        </w:rPr>
        <w:t>tax evasion</w:t>
      </w:r>
      <w:r w:rsidR="00433F7E" w:rsidRPr="00275C12">
        <w:rPr>
          <w:rFonts w:ascii="Nirmala UI Semilight" w:eastAsia="Times New Roman" w:hAnsi="Nirmala UI Semilight" w:cs="Nirmala UI Semilight"/>
          <w:color w:val="000000"/>
        </w:rPr>
        <w:t xml:space="preserve">. According to Hoffman (1961), </w:t>
      </w:r>
      <w:r w:rsidR="00433F7E" w:rsidRPr="00275C12">
        <w:rPr>
          <w:rFonts w:ascii="Nirmala UI Semilight" w:eastAsia="Times New Roman" w:hAnsi="Nirmala UI Semilight" w:cs="Nirmala UI Semilight"/>
          <w:i/>
          <w:iCs/>
          <w:color w:val="000000"/>
        </w:rPr>
        <w:t xml:space="preserve">tax planning </w:t>
      </w:r>
      <w:r w:rsidR="00433F7E" w:rsidRPr="00275C12">
        <w:rPr>
          <w:rFonts w:ascii="Nirmala UI Semilight" w:eastAsia="Times New Roman" w:hAnsi="Nirmala UI Semilight" w:cs="Nirmala UI Semilight"/>
          <w:color w:val="000000"/>
        </w:rPr>
        <w:t xml:space="preserve">does not mean reducing tax obligations to a minimum level, but must be done appropriately to suit the needs of taxpayers and not harm the potential for state revenue. The practice can be legal, i.e. tax avoidance, or illegal, i.e. tax evasion that risks causing sanctions and a greater tax burden. Thus, </w:t>
      </w:r>
      <w:r w:rsidR="00433F7E" w:rsidRPr="00275C12">
        <w:rPr>
          <w:rFonts w:ascii="Nirmala UI Semilight" w:eastAsia="Times New Roman" w:hAnsi="Nirmala UI Semilight" w:cs="Nirmala UI Semilight"/>
          <w:i/>
          <w:iCs/>
          <w:color w:val="000000"/>
        </w:rPr>
        <w:t xml:space="preserve">tax planning </w:t>
      </w:r>
      <w:r w:rsidR="00433F7E" w:rsidRPr="00275C12">
        <w:rPr>
          <w:rFonts w:ascii="Nirmala UI Semilight" w:eastAsia="Times New Roman" w:hAnsi="Nirmala UI Semilight" w:cs="Nirmala UI Semilight"/>
          <w:color w:val="000000"/>
        </w:rPr>
        <w:t>becomes an important framework in understanding the company's strategy in fulfilling tax obligations while maintaining financial efficiency.</w:t>
      </w:r>
    </w:p>
    <w:p w14:paraId="18B16A70" w14:textId="45A0D0A5" w:rsidR="00A13CC2"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In this context, internal CSR initiatives are directed towards CSR programs such as continuing education programs, safe working environment, employee career opportunities, training, health and safety, and work-life balance, and include the company's fairness towards human rights and provision of equal opportunities.  Internal CSR activities have a type of instrumental activity that refers to socially responsible activities that have a direct impact on employees (Kim et al., 2020). These activities may vary in practice from company to company. However, there are many frameworks in global agreements that can be used by organizations or companies as guidelines for internal CSR practices towards employees, such as ISO 26000, Human Rights Norms for Business, EOCD Guidelines for Multinational Enterprises, and the Global Reporting Initiative (GRI), an international organization that develops framework guidelines to support sustainability reporting. These standards can be applied by all types of organizations and the standards address employment practices. The literature does not offer guidelines or which uniformed standards to take as it may take away the distinctive features of the organization's own culture (Miethlich et al., 2023).</w:t>
      </w:r>
    </w:p>
    <w:p w14:paraId="492E3B15" w14:textId="77777777"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A54A47" w14:textId="02DCEAF5" w:rsidR="00787947" w:rsidRPr="00275C12" w:rsidRDefault="00570E0A"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Tax Avoidance</w:t>
      </w:r>
    </w:p>
    <w:p w14:paraId="78747950" w14:textId="05131E39" w:rsidR="00787947" w:rsidRPr="00275C12" w:rsidRDefault="00787947" w:rsidP="00570E0A">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570E0A" w:rsidRPr="00275C12">
        <w:rPr>
          <w:rFonts w:ascii="Nirmala UI Semilight" w:eastAsia="Times New Roman" w:hAnsi="Nirmala UI Semilight" w:cs="Nirmala UI Semilight"/>
          <w:color w:val="000000"/>
        </w:rPr>
        <w:t xml:space="preserve">According to Pohan (2017), </w:t>
      </w:r>
      <w:r w:rsidR="00570E0A" w:rsidRPr="00275C12">
        <w:rPr>
          <w:rFonts w:ascii="Nirmala UI Semilight" w:eastAsia="Times New Roman" w:hAnsi="Nirmala UI Semilight" w:cs="Nirmala UI Semilight"/>
          <w:i/>
          <w:iCs/>
          <w:color w:val="000000"/>
        </w:rPr>
        <w:t xml:space="preserve">tax avoidance </w:t>
      </w:r>
      <w:r w:rsidR="00570E0A" w:rsidRPr="00275C12">
        <w:rPr>
          <w:rFonts w:ascii="Nirmala UI Semilight" w:eastAsia="Times New Roman" w:hAnsi="Nirmala UI Semilight" w:cs="Nirmala UI Semilight"/>
          <w:color w:val="000000"/>
        </w:rPr>
        <w:t xml:space="preserve">is a legal effort by taxpayers to minimize tax liabilities without violating the rules, usually by taking advantage of loopholes or weaknesses in tax laws. This practice can harm the government due to reduced state revenue, even though the company benefits in the form of tax savings. One common way of tax avoidance is through debt financing which lowers the </w:t>
      </w:r>
      <w:r w:rsidR="00570E0A" w:rsidRPr="00275C12">
        <w:rPr>
          <w:rFonts w:ascii="Nirmala UI Semilight" w:eastAsia="Times New Roman" w:hAnsi="Nirmala UI Semilight" w:cs="Nirmala UI Semilight"/>
          <w:i/>
          <w:iCs/>
          <w:color w:val="000000"/>
        </w:rPr>
        <w:t xml:space="preserve">cash effective tax rate </w:t>
      </w:r>
      <w:r w:rsidR="00570E0A" w:rsidRPr="00275C12">
        <w:rPr>
          <w:rFonts w:ascii="Nirmala UI Semilight" w:eastAsia="Times New Roman" w:hAnsi="Nirmala UI Semilight" w:cs="Nirmala UI Semilight"/>
          <w:color w:val="000000"/>
        </w:rPr>
        <w:t xml:space="preserve">(CETR) thereby reducing the tax burden (Puspitasari et al., 2017). The level of tax avoidance can be measured using CETR, where the lower the value indicates the higher the level of </w:t>
      </w:r>
      <w:r w:rsidR="00570E0A" w:rsidRPr="00275C12">
        <w:rPr>
          <w:rFonts w:ascii="Nirmala UI Semilight" w:eastAsia="Times New Roman" w:hAnsi="Nirmala UI Semilight" w:cs="Nirmala UI Semilight"/>
          <w:i/>
          <w:iCs/>
          <w:color w:val="000000"/>
        </w:rPr>
        <w:t xml:space="preserve">tax avoidance </w:t>
      </w:r>
      <w:r w:rsidR="00570E0A" w:rsidRPr="00275C12">
        <w:rPr>
          <w:rFonts w:ascii="Nirmala UI Semilight" w:eastAsia="Times New Roman" w:hAnsi="Nirmala UI Semilight" w:cs="Nirmala UI Semilight"/>
          <w:color w:val="000000"/>
        </w:rPr>
        <w:t xml:space="preserve">(Hanlon et al., 2010). Various previous studies have also used CETR as a measurement proxy (Sadjiarto et al., 2020; Fauzan et al., 2019; Afrianti et al., 2022). Despite reducing tax liabilities, the decision to conduct </w:t>
      </w:r>
      <w:r w:rsidR="00570E0A" w:rsidRPr="00275C12">
        <w:rPr>
          <w:rFonts w:ascii="Nirmala UI Semilight" w:eastAsia="Times New Roman" w:hAnsi="Nirmala UI Semilight" w:cs="Nirmala UI Semilight"/>
          <w:i/>
          <w:iCs/>
          <w:color w:val="000000"/>
        </w:rPr>
        <w:t xml:space="preserve">tax </w:t>
      </w:r>
      <w:r w:rsidR="00570E0A" w:rsidRPr="00275C12">
        <w:rPr>
          <w:rFonts w:ascii="Nirmala UI Semilight" w:eastAsia="Times New Roman" w:hAnsi="Nirmala UI Semilight" w:cs="Nirmala UI Semilight"/>
          <w:i/>
          <w:iCs/>
          <w:color w:val="000000"/>
        </w:rPr>
        <w:lastRenderedPageBreak/>
        <w:t xml:space="preserve">avoidance </w:t>
      </w:r>
      <w:r w:rsidR="00570E0A" w:rsidRPr="00275C12">
        <w:rPr>
          <w:rFonts w:ascii="Nirmala UI Semilight" w:eastAsia="Times New Roman" w:hAnsi="Nirmala UI Semilight" w:cs="Nirmala UI Semilight"/>
          <w:color w:val="000000"/>
        </w:rPr>
        <w:t>is usually taken by top management with the aim of saving costs, increasing profits, and maintaining the company's reputation.</w:t>
      </w:r>
    </w:p>
    <w:p w14:paraId="0A61825E" w14:textId="77777777"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8A1845C" w14:textId="0D52E0A6" w:rsidR="00787947" w:rsidRPr="00275C12" w:rsidRDefault="00570E0A"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CEO Tenure</w:t>
      </w:r>
    </w:p>
    <w:p w14:paraId="4D3D6C37" w14:textId="22DFBED7" w:rsidR="00787947" w:rsidRPr="00275C12" w:rsidRDefault="00787947" w:rsidP="00787947">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bookmarkStart w:id="1" w:name="_Hlk201217392"/>
      <w:r w:rsidR="00570E0A" w:rsidRPr="00275C12">
        <w:rPr>
          <w:rFonts w:ascii="Nirmala UI Semilight" w:eastAsia="Times New Roman" w:hAnsi="Nirmala UI Semilight" w:cs="Nirmala UI Semilight"/>
          <w:color w:val="000000"/>
        </w:rPr>
        <w:t>CEOs at the beginning of their tenure often try to build public perceptions of their abilities due to doubts about the performance that can be demonstrated. In making strategic decisions, CEOs are influenced by their characteristics, both psychological and observable. One important characteristic is tenure or CEO tenure. According to Astutik and Venusita (2020), the longer the CEO's tenure, the higher his confidence in making risky decisions in the financial sector. The measurement of CEO tenure is usually seen from the number of years a CEO has served since the beginning of his leadership period as stated in the company's annual report (Ulfa et al., 2021).</w:t>
      </w:r>
    </w:p>
    <w:p w14:paraId="7C3C8546" w14:textId="77777777" w:rsidR="00570E0A" w:rsidRPr="00275C12" w:rsidRDefault="00570E0A" w:rsidP="00787947">
      <w:pPr>
        <w:tabs>
          <w:tab w:val="left" w:pos="284"/>
        </w:tabs>
        <w:spacing w:after="0" w:line="240" w:lineRule="auto"/>
        <w:ind w:left="0" w:firstLine="0"/>
        <w:rPr>
          <w:rFonts w:ascii="Nirmala UI Semilight" w:eastAsia="Times New Roman" w:hAnsi="Nirmala UI Semilight" w:cs="Nirmala UI Semilight"/>
          <w:color w:val="000000"/>
        </w:rPr>
      </w:pPr>
    </w:p>
    <w:p w14:paraId="2541ED15" w14:textId="577CCE8C" w:rsidR="00570E0A" w:rsidRPr="00275C12" w:rsidRDefault="00570E0A" w:rsidP="00570E0A">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Financial Distress</w:t>
      </w:r>
    </w:p>
    <w:p w14:paraId="6D310B34" w14:textId="2DF656B0" w:rsidR="00570E0A" w:rsidRPr="00275C12" w:rsidRDefault="00570E0A" w:rsidP="00570E0A">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 xml:space="preserve">Financial distress is a condition when a company has difficulty meeting its financial obligations and is often considered the initial stage before bankruptcy or liquidation (Platt &amp; Platt, 2002). Brigham &amp; Daves (2014) classify financial distress into five categories, namely economic failure, business failure, </w:t>
      </w:r>
      <w:r w:rsidRPr="00275C12">
        <w:rPr>
          <w:rFonts w:ascii="Nirmala UI Semilight" w:eastAsia="Times New Roman" w:hAnsi="Nirmala UI Semilight" w:cs="Nirmala UI Semilight"/>
          <w:i/>
          <w:iCs/>
          <w:color w:val="000000"/>
        </w:rPr>
        <w:t>technical insolvency</w:t>
      </w:r>
      <w:r w:rsidRPr="00275C12">
        <w:rPr>
          <w:rFonts w:ascii="Nirmala UI Semilight" w:eastAsia="Times New Roman" w:hAnsi="Nirmala UI Semilight" w:cs="Nirmala UI Semilight"/>
          <w:color w:val="000000"/>
        </w:rPr>
        <w:t xml:space="preserve">, </w:t>
      </w:r>
      <w:r w:rsidRPr="00275C12">
        <w:rPr>
          <w:rFonts w:ascii="Nirmala UI Semilight" w:eastAsia="Times New Roman" w:hAnsi="Nirmala UI Semilight" w:cs="Nirmala UI Semilight"/>
          <w:i/>
          <w:iCs/>
          <w:color w:val="000000"/>
        </w:rPr>
        <w:t>insolvency in bankruptcy</w:t>
      </w:r>
      <w:r w:rsidRPr="00275C12">
        <w:rPr>
          <w:rFonts w:ascii="Nirmala UI Semilight" w:eastAsia="Times New Roman" w:hAnsi="Nirmala UI Semilight" w:cs="Nirmala UI Semilight"/>
          <w:color w:val="000000"/>
        </w:rPr>
        <w:t xml:space="preserve">, and </w:t>
      </w:r>
      <w:r w:rsidRPr="00275C12">
        <w:rPr>
          <w:rFonts w:ascii="Nirmala UI Semilight" w:eastAsia="Times New Roman" w:hAnsi="Nirmala UI Semilight" w:cs="Nirmala UI Semilight"/>
          <w:i/>
          <w:iCs/>
          <w:color w:val="000000"/>
        </w:rPr>
        <w:t>legal bankruptcy</w:t>
      </w:r>
      <w:r w:rsidRPr="00275C12">
        <w:rPr>
          <w:rFonts w:ascii="Nirmala UI Semilight" w:eastAsia="Times New Roman" w:hAnsi="Nirmala UI Semilight" w:cs="Nirmala UI Semilight"/>
          <w:color w:val="000000"/>
        </w:rPr>
        <w:t>. To predict this condition, one of the widely used methods is the Altman Z-Score, which is proven to have a high level of accuracy in predicting potential bankruptcy (Sari, 2018; Seto &amp; Trisnaningsih, 2021).</w:t>
      </w:r>
    </w:p>
    <w:p w14:paraId="79A103C6" w14:textId="77777777" w:rsidR="00570E0A" w:rsidRPr="00275C12" w:rsidRDefault="00570E0A" w:rsidP="00787947">
      <w:pPr>
        <w:tabs>
          <w:tab w:val="left" w:pos="284"/>
        </w:tabs>
        <w:spacing w:after="0" w:line="240" w:lineRule="auto"/>
        <w:ind w:left="0" w:firstLine="0"/>
        <w:rPr>
          <w:rFonts w:ascii="Nirmala UI Semilight" w:eastAsia="Times New Roman" w:hAnsi="Nirmala UI Semilight" w:cs="Nirmala UI Semilight"/>
          <w:color w:val="000000"/>
        </w:rPr>
      </w:pPr>
    </w:p>
    <w:p w14:paraId="027EA5AC" w14:textId="52354921" w:rsidR="00570E0A" w:rsidRPr="00275C12" w:rsidRDefault="00570E0A" w:rsidP="00570E0A">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Sales Growth</w:t>
      </w:r>
    </w:p>
    <w:p w14:paraId="4A8FD0D2" w14:textId="748FEC24" w:rsidR="00570E0A" w:rsidRPr="00275C12" w:rsidRDefault="00570E0A" w:rsidP="00570E0A">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Sales growth is a ratio used to assess the company's sales performance as well as an indicator of the development of sales levels over time. Sales growth has a strategic role because the increase in sales from period to period must be supported by additional assets (Weston &amp; Brigham, 1991).</w:t>
      </w:r>
    </w:p>
    <w:p w14:paraId="4FA66A36" w14:textId="50632207" w:rsidR="00570E0A" w:rsidRPr="00275C12" w:rsidRDefault="00570E0A" w:rsidP="00570E0A">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The sales growth indicator can reflect the good or bad condition of the company, as well as help predict the potential profit to be obtained. The measurement is done by calculating the percentage increase or decrease in sales from year to year, namely the difference in sales from the current period to the previous period compared to total sales in the previous period (Kasmir, 2016). Increased sales growth will have an impact on increasing profits, so that it also has implications for the increasing tax burden that must be borne by the company. This condition encourages companies to potentially practice tax avoidance.</w:t>
      </w:r>
    </w:p>
    <w:p w14:paraId="4553CB57" w14:textId="77777777" w:rsidR="00570E0A" w:rsidRPr="00275C12" w:rsidRDefault="00570E0A" w:rsidP="00787947">
      <w:pPr>
        <w:tabs>
          <w:tab w:val="left" w:pos="284"/>
        </w:tabs>
        <w:spacing w:after="0" w:line="240" w:lineRule="auto"/>
        <w:ind w:left="0" w:firstLine="0"/>
        <w:rPr>
          <w:rFonts w:ascii="Nirmala UI Semilight" w:eastAsia="Times New Roman" w:hAnsi="Nirmala UI Semilight" w:cs="Nirmala UI Semilight"/>
          <w:color w:val="000000"/>
        </w:rPr>
      </w:pPr>
    </w:p>
    <w:bookmarkEnd w:id="1"/>
    <w:p w14:paraId="307441D8" w14:textId="3AF20403" w:rsidR="00570E0A" w:rsidRPr="00275C12" w:rsidRDefault="00570E0A" w:rsidP="00570E0A">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Research Framework</w:t>
      </w:r>
    </w:p>
    <w:p w14:paraId="5D4A3A43" w14:textId="5EE18A24" w:rsidR="00570E0A" w:rsidRPr="00275C12" w:rsidRDefault="00A2312C" w:rsidP="00A2312C">
      <w:pPr>
        <w:pStyle w:val="ListParagraph"/>
        <w:spacing w:after="0" w:line="240" w:lineRule="auto"/>
        <w:ind w:left="0" w:firstLine="284"/>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lang w:val="en-ID"/>
        </w:rPr>
        <w:t>The theoretical framework in this study examines the effect of independent variables (X</w:t>
      </w:r>
      <w:r w:rsidRPr="00275C12">
        <w:rPr>
          <w:rFonts w:ascii="Nirmala UI Semilight" w:eastAsia="Times New Roman" w:hAnsi="Nirmala UI Semilight" w:cs="Nirmala UI Semilight"/>
          <w:color w:val="000000"/>
          <w:vertAlign w:val="subscript"/>
          <w:lang w:val="en-ID"/>
        </w:rPr>
        <w:t>)</w:t>
      </w:r>
      <w:r w:rsidRPr="00275C12">
        <w:rPr>
          <w:rFonts w:ascii="Nirmala UI Semilight" w:eastAsia="Times New Roman" w:hAnsi="Nirmala UI Semilight" w:cs="Nirmala UI Semilight"/>
          <w:color w:val="000000"/>
          <w:lang w:val="en-ID"/>
        </w:rPr>
        <w:t xml:space="preserve">, namely CEO </w:t>
      </w:r>
      <w:r w:rsidRPr="00275C12">
        <w:rPr>
          <w:rFonts w:ascii="Nirmala UI Semilight" w:eastAsia="Times New Roman" w:hAnsi="Nirmala UI Semilight" w:cs="Nirmala UI Semilight"/>
          <w:i/>
          <w:iCs/>
          <w:color w:val="000000"/>
          <w:lang w:val="en-ID"/>
        </w:rPr>
        <w:t xml:space="preserve">tenure </w:t>
      </w:r>
      <w:r w:rsidRPr="00275C12">
        <w:rPr>
          <w:rFonts w:ascii="Nirmala UI Semilight" w:eastAsia="Times New Roman" w:hAnsi="Nirmala UI Semilight" w:cs="Nirmala UI Semilight"/>
          <w:color w:val="000000"/>
          <w:lang w:val="en-ID"/>
        </w:rPr>
        <w:t>(X</w:t>
      </w:r>
      <w:r w:rsidRPr="00275C12">
        <w:rPr>
          <w:rFonts w:ascii="Nirmala UI Semilight" w:eastAsia="Times New Roman" w:hAnsi="Nirmala UI Semilight" w:cs="Nirmala UI Semilight"/>
          <w:color w:val="000000"/>
          <w:vertAlign w:val="subscript"/>
          <w:lang w:val="en-ID"/>
        </w:rPr>
        <w:t xml:space="preserve">1) </w:t>
      </w:r>
      <w:r w:rsidRPr="00275C12">
        <w:rPr>
          <w:rFonts w:ascii="Nirmala UI Semilight" w:eastAsia="Times New Roman" w:hAnsi="Nirmala UI Semilight" w:cs="Nirmala UI Semilight"/>
          <w:color w:val="000000"/>
          <w:lang w:val="en-ID"/>
        </w:rPr>
        <w:t xml:space="preserve">, </w:t>
      </w:r>
      <w:r w:rsidRPr="00275C12">
        <w:rPr>
          <w:rFonts w:ascii="Nirmala UI Semilight" w:eastAsia="Times New Roman" w:hAnsi="Nirmala UI Semilight" w:cs="Nirmala UI Semilight"/>
          <w:i/>
          <w:iCs/>
          <w:color w:val="000000"/>
          <w:lang w:val="en-ID"/>
        </w:rPr>
        <w:t xml:space="preserve">financial distress </w:t>
      </w:r>
      <w:r w:rsidRPr="00275C12">
        <w:rPr>
          <w:rFonts w:ascii="Nirmala UI Semilight" w:eastAsia="Times New Roman" w:hAnsi="Nirmala UI Semilight" w:cs="Nirmala UI Semilight"/>
          <w:color w:val="000000"/>
          <w:lang w:val="en-ID"/>
        </w:rPr>
        <w:t>(X</w:t>
      </w:r>
      <w:r w:rsidRPr="00275C12">
        <w:rPr>
          <w:rFonts w:ascii="Nirmala UI Semilight" w:eastAsia="Times New Roman" w:hAnsi="Nirmala UI Semilight" w:cs="Nirmala UI Semilight"/>
          <w:color w:val="000000"/>
          <w:vertAlign w:val="subscript"/>
          <w:lang w:val="en-ID"/>
        </w:rPr>
        <w:t xml:space="preserve">2) </w:t>
      </w:r>
      <w:r w:rsidRPr="00275C12">
        <w:rPr>
          <w:rFonts w:ascii="Nirmala UI Semilight" w:eastAsia="Times New Roman" w:hAnsi="Nirmala UI Semilight" w:cs="Nirmala UI Semilight"/>
          <w:color w:val="000000"/>
          <w:lang w:val="en-ID"/>
        </w:rPr>
        <w:t xml:space="preserve">, and </w:t>
      </w:r>
      <w:r w:rsidRPr="00275C12">
        <w:rPr>
          <w:rFonts w:ascii="Nirmala UI Semilight" w:eastAsia="Times New Roman" w:hAnsi="Nirmala UI Semilight" w:cs="Nirmala UI Semilight"/>
          <w:i/>
          <w:iCs/>
          <w:color w:val="000000"/>
          <w:lang w:val="en-ID"/>
        </w:rPr>
        <w:t xml:space="preserve">sales growth </w:t>
      </w:r>
      <w:r w:rsidRPr="00275C12">
        <w:rPr>
          <w:rFonts w:ascii="Nirmala UI Semilight" w:eastAsia="Times New Roman" w:hAnsi="Nirmala UI Semilight" w:cs="Nirmala UI Semilight"/>
          <w:color w:val="000000"/>
          <w:lang w:val="en-ID"/>
        </w:rPr>
        <w:t>(X</w:t>
      </w:r>
      <w:r w:rsidRPr="00275C12">
        <w:rPr>
          <w:rFonts w:ascii="Nirmala UI Semilight" w:eastAsia="Times New Roman" w:hAnsi="Nirmala UI Semilight" w:cs="Nirmala UI Semilight"/>
          <w:color w:val="000000"/>
          <w:vertAlign w:val="subscript"/>
          <w:lang w:val="en-ID"/>
        </w:rPr>
        <w:t>3</w:t>
      </w:r>
      <w:r w:rsidRPr="00275C12">
        <w:rPr>
          <w:rFonts w:ascii="Nirmala UI Semilight" w:eastAsia="Times New Roman" w:hAnsi="Nirmala UI Semilight" w:cs="Nirmala UI Semilight"/>
          <w:color w:val="000000"/>
          <w:lang w:val="en-ID"/>
        </w:rPr>
        <w:t xml:space="preserve">) on the dependent variable (Y), namely tax avoidance. An illustration of the theoretical framework in this study is shown </w:t>
      </w:r>
      <w:r w:rsidR="001D3976" w:rsidRPr="00275C12">
        <w:rPr>
          <w:rFonts w:ascii="Nirmala UI Semilight" w:eastAsia="Times New Roman" w:hAnsi="Nirmala UI Semilight" w:cs="Nirmala UI Semilight"/>
          <w:color w:val="000000"/>
          <w:lang w:val="en-ID"/>
        </w:rPr>
        <w:t xml:space="preserve">in Figure 1 </w:t>
      </w:r>
      <w:r w:rsidRPr="00275C12">
        <w:rPr>
          <w:rFonts w:ascii="Nirmala UI Semilight" w:eastAsia="Times New Roman" w:hAnsi="Nirmala UI Semilight" w:cs="Nirmala UI Semilight"/>
          <w:color w:val="000000"/>
          <w:lang w:val="en-ID"/>
        </w:rPr>
        <w:t>below:</w:t>
      </w:r>
    </w:p>
    <w:p w14:paraId="4B06D884" w14:textId="77777777" w:rsidR="00A2312C" w:rsidRPr="00275C12" w:rsidRDefault="00A2312C" w:rsidP="002109F5">
      <w:pPr>
        <w:pStyle w:val="ListParagraph"/>
        <w:spacing w:after="0" w:line="240" w:lineRule="auto"/>
        <w:ind w:left="0" w:firstLine="0"/>
        <w:rPr>
          <w:rFonts w:ascii="Nirmala UI Semilight" w:eastAsia="Times New Roman" w:hAnsi="Nirmala UI Semilight" w:cs="Nirmala UI Semilight"/>
          <w:color w:val="000000"/>
        </w:rPr>
      </w:pPr>
    </w:p>
    <w:p w14:paraId="72C3F350" w14:textId="77777777" w:rsidR="003225C9" w:rsidRPr="00275C12" w:rsidRDefault="003225C9" w:rsidP="002109F5">
      <w:pPr>
        <w:pStyle w:val="ListParagraph"/>
        <w:spacing w:after="0" w:line="240" w:lineRule="auto"/>
        <w:ind w:left="0" w:firstLine="0"/>
        <w:rPr>
          <w:rFonts w:ascii="Nirmala UI Semilight" w:eastAsia="Times New Roman" w:hAnsi="Nirmala UI Semilight" w:cs="Nirmala UI Semilight"/>
          <w:color w:val="000000"/>
        </w:rPr>
      </w:pPr>
    </w:p>
    <w:p w14:paraId="3C896FFC" w14:textId="77777777" w:rsidR="003225C9" w:rsidRPr="00275C12" w:rsidRDefault="003225C9" w:rsidP="002109F5">
      <w:pPr>
        <w:pStyle w:val="ListParagraph"/>
        <w:spacing w:after="0" w:line="240" w:lineRule="auto"/>
        <w:ind w:left="0" w:firstLine="0"/>
        <w:rPr>
          <w:rFonts w:ascii="Nirmala UI Semilight" w:eastAsia="Times New Roman" w:hAnsi="Nirmala UI Semilight" w:cs="Nirmala UI Semilight"/>
          <w:color w:val="000000"/>
        </w:rPr>
      </w:pPr>
    </w:p>
    <w:p w14:paraId="4E7FC4F5" w14:textId="77777777" w:rsidR="003225C9" w:rsidRPr="00275C12" w:rsidRDefault="003225C9" w:rsidP="002109F5">
      <w:pPr>
        <w:pStyle w:val="ListParagraph"/>
        <w:spacing w:after="0" w:line="240" w:lineRule="auto"/>
        <w:ind w:left="0" w:firstLine="0"/>
        <w:rPr>
          <w:rFonts w:ascii="Nirmala UI Semilight" w:eastAsia="Times New Roman" w:hAnsi="Nirmala UI Semilight" w:cs="Nirmala UI Semilight"/>
          <w:color w:val="000000"/>
        </w:rPr>
      </w:pPr>
    </w:p>
    <w:p w14:paraId="09E3E086" w14:textId="77777777" w:rsidR="003225C9" w:rsidRPr="00275C12" w:rsidRDefault="003225C9" w:rsidP="002109F5">
      <w:pPr>
        <w:pStyle w:val="ListParagraph"/>
        <w:spacing w:after="0" w:line="240" w:lineRule="auto"/>
        <w:ind w:left="0" w:firstLine="0"/>
        <w:rPr>
          <w:rFonts w:ascii="Nirmala UI Semilight" w:eastAsia="Times New Roman" w:hAnsi="Nirmala UI Semilight" w:cs="Nirmala UI Semilight"/>
          <w:color w:val="000000"/>
        </w:rPr>
      </w:pPr>
    </w:p>
    <w:p w14:paraId="788FBED5" w14:textId="77777777" w:rsidR="003225C9" w:rsidRPr="00275C12" w:rsidRDefault="003225C9" w:rsidP="002109F5">
      <w:pPr>
        <w:pStyle w:val="ListParagraph"/>
        <w:spacing w:after="0" w:line="240" w:lineRule="auto"/>
        <w:ind w:left="0" w:firstLine="0"/>
        <w:rPr>
          <w:rFonts w:ascii="Nirmala UI Semilight" w:eastAsia="Times New Roman" w:hAnsi="Nirmala UI Semilight" w:cs="Nirmala UI Semilight"/>
          <w:color w:val="000000"/>
        </w:rPr>
      </w:pPr>
    </w:p>
    <w:p w14:paraId="4DADE203" w14:textId="5B5EEE76" w:rsidR="00787947" w:rsidRPr="00275C12" w:rsidRDefault="002109F5" w:rsidP="002109F5">
      <w:pPr>
        <w:pStyle w:val="ListParagraph"/>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noProof/>
          <w:color w:val="000000"/>
        </w:rPr>
        <w:lastRenderedPageBreak/>
        <mc:AlternateContent>
          <mc:Choice Requires="wpg">
            <w:drawing>
              <wp:anchor distT="0" distB="0" distL="114300" distR="114300" simplePos="0" relativeHeight="251665408" behindDoc="0" locked="0" layoutInCell="1" allowOverlap="1" wp14:anchorId="7ED897E1" wp14:editId="647FE279">
                <wp:simplePos x="0" y="0"/>
                <wp:positionH relativeFrom="column">
                  <wp:posOffset>823093</wp:posOffset>
                </wp:positionH>
                <wp:positionV relativeFrom="paragraph">
                  <wp:posOffset>59690</wp:posOffset>
                </wp:positionV>
                <wp:extent cx="4040375" cy="1697793"/>
                <wp:effectExtent l="0" t="0" r="17780" b="17145"/>
                <wp:wrapNone/>
                <wp:docPr id="308201964" name="Group 4"/>
                <wp:cNvGraphicFramePr/>
                <a:graphic xmlns:a="http://schemas.openxmlformats.org/drawingml/2006/main">
                  <a:graphicData uri="http://schemas.microsoft.com/office/word/2010/wordprocessingGroup">
                    <wpg:wgp>
                      <wpg:cNvGrpSpPr/>
                      <wpg:grpSpPr>
                        <a:xfrm>
                          <a:off x="0" y="0"/>
                          <a:ext cx="4040375" cy="1697793"/>
                          <a:chOff x="0" y="0"/>
                          <a:chExt cx="4040375" cy="1697793"/>
                        </a:xfrm>
                      </wpg:grpSpPr>
                      <wps:wsp>
                        <wps:cNvPr id="1768404267" name="Oval 1"/>
                        <wps:cNvSpPr/>
                        <wps:spPr>
                          <a:xfrm>
                            <a:off x="0" y="0"/>
                            <a:ext cx="1458686" cy="77288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0E173D" w14:textId="36414ECE" w:rsidR="00787947" w:rsidRPr="00787947" w:rsidRDefault="00570E0A" w:rsidP="00787947">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 xml:space="preserve">CEO Tenure </w:t>
                              </w:r>
                              <w:r w:rsidR="00787947">
                                <w:rPr>
                                  <w:rFonts w:ascii="Nirmala UI Semilight" w:hAnsi="Nirmala UI Semilight" w:cs="Nirmala UI Semilight"/>
                                </w:rPr>
                                <w:t>(X</w:t>
                              </w:r>
                              <w:r w:rsidR="00787947" w:rsidRPr="00570E0A">
                                <w:rPr>
                                  <w:rFonts w:ascii="Nirmala UI Semilight" w:hAnsi="Nirmala UI Semilight" w:cs="Nirmala UI Semilight"/>
                                  <w:vertAlign w:val="subscript"/>
                                </w:rPr>
                                <w:t>1</w:t>
                              </w:r>
                              <w:r w:rsidR="00787947">
                                <w:rPr>
                                  <w:rFonts w:ascii="Nirmala UI Semilight" w:hAnsi="Nirmala UI Semilight" w:cs="Nirmala UI Semiligh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397682" name="Oval 1"/>
                        <wps:cNvSpPr/>
                        <wps:spPr>
                          <a:xfrm>
                            <a:off x="0" y="914400"/>
                            <a:ext cx="1458595" cy="77279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D6C55" w14:textId="1587A4EE" w:rsidR="00787947" w:rsidRPr="00787947" w:rsidRDefault="00570E0A" w:rsidP="00570E0A">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 xml:space="preserve">Financial Distress </w:t>
                              </w:r>
                              <w:r w:rsidR="00787947">
                                <w:rPr>
                                  <w:rFonts w:ascii="Nirmala UI Semilight" w:hAnsi="Nirmala UI Semilight" w:cs="Nirmala UI Semilight"/>
                                </w:rPr>
                                <w:t>(X</w:t>
                              </w:r>
                              <w:r w:rsidR="00787947" w:rsidRPr="00570E0A">
                                <w:rPr>
                                  <w:rFonts w:ascii="Nirmala UI Semilight" w:hAnsi="Nirmala UI Semilight" w:cs="Nirmala UI Semilight"/>
                                  <w:vertAlign w:val="subscript"/>
                                </w:rPr>
                                <w:t>2</w:t>
                              </w:r>
                              <w:r w:rsidR="00787947">
                                <w:rPr>
                                  <w:rFonts w:ascii="Nirmala UI Semilight" w:hAnsi="Nirmala UI Semilight" w:cs="Nirmala UI Semiligh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978514" name="Oval 1"/>
                        <wps:cNvSpPr/>
                        <wps:spPr>
                          <a:xfrm>
                            <a:off x="2564825" y="930223"/>
                            <a:ext cx="1475550" cy="76757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DE9294" w14:textId="2A9524BB" w:rsidR="00787947" w:rsidRPr="00787947" w:rsidRDefault="00570E0A" w:rsidP="00570E0A">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 xml:space="preserve">Tax Avoidance </w:t>
                              </w:r>
                              <w:r w:rsidR="00787947">
                                <w:rPr>
                                  <w:rFonts w:ascii="Nirmala UI Semilight" w:hAnsi="Nirmala UI Semilight" w:cs="Nirmala UI Semilight"/>
                                </w:rPr>
                                <w:t>(</w:t>
                              </w:r>
                              <w:r>
                                <w:rPr>
                                  <w:rFonts w:ascii="Nirmala UI Semilight" w:hAnsi="Nirmala UI Semilight" w:cs="Nirmala UI Semilight"/>
                                </w:rPr>
                                <w:t>Y</w:t>
                              </w:r>
                              <w:r w:rsidR="00787947">
                                <w:rPr>
                                  <w:rFonts w:ascii="Nirmala UI Semilight" w:hAnsi="Nirmala UI Semilight" w:cs="Nirmala UI Semiligh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210749" name="Straight Arrow Connector 2"/>
                        <wps:cNvCnPr>
                          <a:endCxn id="365978514" idx="1"/>
                        </wps:cNvCnPr>
                        <wps:spPr>
                          <a:xfrm>
                            <a:off x="1458504" y="380902"/>
                            <a:ext cx="1322062" cy="66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6698680" name="Straight Arrow Connector 3"/>
                        <wps:cNvCnPr>
                          <a:stCxn id="224397682" idx="6"/>
                          <a:endCxn id="365978514" idx="2"/>
                        </wps:cNvCnPr>
                        <wps:spPr>
                          <a:xfrm>
                            <a:off x="1458595" y="1300798"/>
                            <a:ext cx="1106230" cy="132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D897E1" id="Group 4" o:spid="_x0000_s1026" style="position:absolute;left:0;text-align:left;margin-left:64.8pt;margin-top:4.7pt;width:318.15pt;height:133.7pt;z-index:251665408;mso-width-relative:margin;mso-height-relative:margin" coordsize="40403,1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">
                <v:oval id="_x0000_s1027" style="position:absolute;width:14586;height:7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" fillcolor="white [3201]" strokecolor="black [3213]" strokeweight="1pt">
                  <v:stroke joinstyle="miter"/>
                  <v:textbox>
                    <w:txbxContent>
                      <w:p w14:paraId="420E173D" w14:textId="36414ECE" w:rsidR="00787947" w:rsidRPr="00787947" w:rsidRDefault="00570E0A" w:rsidP="00787947">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 xml:space="preserve">CEO Tenure </w:t>
                        </w:r>
                        <w:r w:rsidR="00787947">
                          <w:rPr>
                            <w:rFonts w:ascii="Nirmala UI Semilight" w:hAnsi="Nirmala UI Semilight" w:cs="Nirmala UI Semilight"/>
                          </w:rPr>
                          <w:t>(X</w:t>
                        </w:r>
                        <w:r w:rsidR="00787947" w:rsidRPr="00570E0A">
                          <w:rPr>
                            <w:rFonts w:ascii="Nirmala UI Semilight" w:hAnsi="Nirmala UI Semilight" w:cs="Nirmala UI Semilight"/>
                            <w:vertAlign w:val="subscript"/>
                          </w:rPr>
                          <w:t>1</w:t>
                        </w:r>
                        <w:r w:rsidR="00787947">
                          <w:rPr>
                            <w:rFonts w:ascii="Nirmala UI Semilight" w:hAnsi="Nirmala UI Semilight" w:cs="Nirmala UI Semilight"/>
                          </w:rPr>
                          <w:t>)</w:t>
                        </w:r>
                      </w:p>
                    </w:txbxContent>
                  </v:textbox>
                </v:oval>
                <v:oval id="_x0000_s1028" style="position:absolute;top:9144;width:14585;height:7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" fillcolor="white [3201]" strokecolor="black [3213]" strokeweight="1pt">
                  <v:stroke joinstyle="miter"/>
                  <v:textbox>
                    <w:txbxContent>
                      <w:p w14:paraId="5DAD6C55" w14:textId="1587A4EE" w:rsidR="00787947" w:rsidRPr="00787947" w:rsidRDefault="00570E0A" w:rsidP="00570E0A">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 xml:space="preserve">Financial Distress </w:t>
                        </w:r>
                        <w:r w:rsidR="00787947">
                          <w:rPr>
                            <w:rFonts w:ascii="Nirmala UI Semilight" w:hAnsi="Nirmala UI Semilight" w:cs="Nirmala UI Semilight"/>
                          </w:rPr>
                          <w:t>(X</w:t>
                        </w:r>
                        <w:r w:rsidR="00787947" w:rsidRPr="00570E0A">
                          <w:rPr>
                            <w:rFonts w:ascii="Nirmala UI Semilight" w:hAnsi="Nirmala UI Semilight" w:cs="Nirmala UI Semilight"/>
                            <w:vertAlign w:val="subscript"/>
                          </w:rPr>
                          <w:t>2</w:t>
                        </w:r>
                        <w:r w:rsidR="00787947">
                          <w:rPr>
                            <w:rFonts w:ascii="Nirmala UI Semilight" w:hAnsi="Nirmala UI Semilight" w:cs="Nirmala UI Semilight"/>
                          </w:rPr>
                          <w:t>)</w:t>
                        </w:r>
                      </w:p>
                    </w:txbxContent>
                  </v:textbox>
                </v:oval>
                <v:oval id="_x0000_s1029" style="position:absolute;left:25648;top:9302;width:14755;height: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" fillcolor="white [3201]" strokecolor="black [3213]" strokeweight="1pt">
                  <v:stroke joinstyle="miter"/>
                  <v:textbox>
                    <w:txbxContent>
                      <w:p w14:paraId="7ADE9294" w14:textId="2A9524BB" w:rsidR="00787947" w:rsidRPr="00787947" w:rsidRDefault="00570E0A" w:rsidP="00570E0A">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 xml:space="preserve">Tax Avoidance </w:t>
                        </w:r>
                        <w:r w:rsidR="00787947">
                          <w:rPr>
                            <w:rFonts w:ascii="Nirmala UI Semilight" w:hAnsi="Nirmala UI Semilight" w:cs="Nirmala UI Semilight"/>
                          </w:rPr>
                          <w:t>(</w:t>
                        </w:r>
                        <w:r>
                          <w:rPr>
                            <w:rFonts w:ascii="Nirmala UI Semilight" w:hAnsi="Nirmala UI Semilight" w:cs="Nirmala UI Semilight"/>
                          </w:rPr>
                          <w:t>Y</w:t>
                        </w:r>
                        <w:r w:rsidR="00787947">
                          <w:rPr>
                            <w:rFonts w:ascii="Nirmala UI Semilight" w:hAnsi="Nirmala UI Semilight" w:cs="Nirmala UI Semilight"/>
                          </w:rPr>
                          <w:t>)</w:t>
                        </w:r>
                      </w:p>
                    </w:txbxContent>
                  </v:textbox>
                </v:oval>
                <v:shapetype id="_x0000_t32" coordsize="21600,21600" o:spt="32" o:oned="t" path="m,l21600,21600e" filled="f">
                  <v:path arrowok="t" fillok="f" o:connecttype="none"/>
                  <o:lock v:ext="edit" shapetype="t"/>
                </v:shapetype>
                <v:shape id="Straight Arrow Connector 2" o:spid="_x0000_s1030" type="#_x0000_t32" style="position:absolute;left:14585;top:3809;width:13220;height:6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" strokecolor="black [3200]" strokeweight=".5pt">
                  <v:stroke endarrow="block" joinstyle="miter"/>
                </v:shape>
                <v:shape id="Straight Arrow Connector 3" o:spid="_x0000_s1031" type="#_x0000_t32" style="position:absolute;left:14585;top:13007;width:11063;height: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" strokecolor="black [3200]" strokeweight=".5pt">
                  <v:stroke endarrow="block" joinstyle="miter"/>
                </v:shape>
              </v:group>
            </w:pict>
          </mc:Fallback>
        </mc:AlternateContent>
      </w:r>
    </w:p>
    <w:p w14:paraId="4D00155F" w14:textId="3F5A6C46" w:rsidR="00787947" w:rsidRPr="00275C12" w:rsidRDefault="009406BE"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noProof/>
          <w:color w:val="000000"/>
          <w:lang w:val="en-ID"/>
        </w:rPr>
        <mc:AlternateContent>
          <mc:Choice Requires="wps">
            <w:drawing>
              <wp:anchor distT="45720" distB="45720" distL="114300" distR="114300" simplePos="0" relativeHeight="251671552" behindDoc="0" locked="0" layoutInCell="1" allowOverlap="1" wp14:anchorId="48DA8C02" wp14:editId="708894C5">
                <wp:simplePos x="0" y="0"/>
                <wp:positionH relativeFrom="column">
                  <wp:posOffset>2277110</wp:posOffset>
                </wp:positionH>
                <wp:positionV relativeFrom="paragraph">
                  <wp:posOffset>49975</wp:posOffset>
                </wp:positionV>
                <wp:extent cx="415290" cy="3441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344170"/>
                        </a:xfrm>
                        <a:prstGeom prst="rect">
                          <a:avLst/>
                        </a:prstGeom>
                        <a:noFill/>
                        <a:ln w="9525">
                          <a:noFill/>
                          <a:miter lim="800000"/>
                          <a:headEnd/>
                          <a:tailEnd/>
                        </a:ln>
                      </wps:spPr>
                      <wps:txbx>
                        <w:txbxContent>
                          <w:p w14:paraId="250F54CA" w14:textId="1DFD4294" w:rsidR="009406BE" w:rsidRPr="009406BE" w:rsidRDefault="009406BE" w:rsidP="009406BE">
                            <w:pPr>
                              <w:ind w:left="0" w:firstLine="0"/>
                              <w:rPr>
                                <w:rFonts w:ascii="Nirmala UI Semilight" w:hAnsi="Nirmala UI Semilight" w:cs="Nirmala UI Semilight"/>
                              </w:rPr>
                            </w:pPr>
                            <w:r w:rsidRPr="009406BE">
                              <w:rPr>
                                <w:rFonts w:ascii="Nirmala UI Semilight" w:hAnsi="Nirmala UI Semilight" w:cs="Nirmala UI Semilight"/>
                              </w:rPr>
                              <w:t>H</w:t>
                            </w:r>
                            <w:r w:rsidRPr="009406BE">
                              <w:rPr>
                                <w:rFonts w:ascii="Nirmala UI Semilight" w:hAnsi="Nirmala UI Semilight" w:cs="Nirmala UI Semilight"/>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A8C02" id="_x0000_t202" coordsize="21600,21600" o:spt="202" path="m,l,21600r21600,l21600,xe">
                <v:stroke joinstyle="miter"/>
                <v:path gradientshapeok="t" o:connecttype="rect"/>
              </v:shapetype>
              <v:shape id="Text Box 2" o:spid="_x0000_s1032" type="#_x0000_t202" style="position:absolute;left:0;text-align:left;margin-left:179.3pt;margin-top:3.95pt;width:32.7pt;height:27.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" filled="f" stroked="f">
                <v:textbox>
                  <w:txbxContent>
                    <w:p w14:paraId="250F54CA" w14:textId="1DFD4294" w:rsidR="009406BE" w:rsidRPr="009406BE" w:rsidRDefault="009406BE" w:rsidP="009406BE">
                      <w:pPr>
                        <w:ind w:left="0" w:firstLine="0"/>
                        <w:rPr>
                          <w:rFonts w:ascii="Nirmala UI Semilight" w:hAnsi="Nirmala UI Semilight" w:cs="Nirmala UI Semilight"/>
                        </w:rPr>
                      </w:pPr>
                      <w:r w:rsidRPr="009406BE">
                        <w:rPr>
                          <w:rFonts w:ascii="Nirmala UI Semilight" w:hAnsi="Nirmala UI Semilight" w:cs="Nirmala UI Semilight"/>
                        </w:rPr>
                        <w:t>H</w:t>
                      </w:r>
                      <w:r w:rsidRPr="009406BE">
                        <w:rPr>
                          <w:rFonts w:ascii="Nirmala UI Semilight" w:hAnsi="Nirmala UI Semilight" w:cs="Nirmala UI Semilight"/>
                          <w:vertAlign w:val="subscript"/>
                        </w:rPr>
                        <w:t>1</w:t>
                      </w:r>
                    </w:p>
                  </w:txbxContent>
                </v:textbox>
                <w10:wrap type="square"/>
              </v:shape>
            </w:pict>
          </mc:Fallback>
        </mc:AlternateContent>
      </w:r>
    </w:p>
    <w:p w14:paraId="27A1968F" w14:textId="49FE14AF"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0752BAD" w14:textId="14807762"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B5EE29D" w14:textId="3561289B"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02DB809" w14:textId="0AF89525" w:rsidR="00787947" w:rsidRPr="00275C12" w:rsidRDefault="009406BE"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noProof/>
          <w:color w:val="000000"/>
          <w:lang w:val="en-ID"/>
        </w:rPr>
        <mc:AlternateContent>
          <mc:Choice Requires="wps">
            <w:drawing>
              <wp:anchor distT="45720" distB="45720" distL="114300" distR="114300" simplePos="0" relativeHeight="251673600" behindDoc="0" locked="0" layoutInCell="1" allowOverlap="1" wp14:anchorId="0F1000CD" wp14:editId="52417ED7">
                <wp:simplePos x="0" y="0"/>
                <wp:positionH relativeFrom="column">
                  <wp:posOffset>2274974</wp:posOffset>
                </wp:positionH>
                <wp:positionV relativeFrom="paragraph">
                  <wp:posOffset>168910</wp:posOffset>
                </wp:positionV>
                <wp:extent cx="415290" cy="344170"/>
                <wp:effectExtent l="0" t="0" r="0" b="0"/>
                <wp:wrapSquare wrapText="bothSides"/>
                <wp:docPr id="1609517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344170"/>
                        </a:xfrm>
                        <a:prstGeom prst="rect">
                          <a:avLst/>
                        </a:prstGeom>
                        <a:noFill/>
                        <a:ln w="9525">
                          <a:noFill/>
                          <a:miter lim="800000"/>
                          <a:headEnd/>
                          <a:tailEnd/>
                        </a:ln>
                      </wps:spPr>
                      <wps:txbx>
                        <w:txbxContent>
                          <w:p w14:paraId="2EA4C6EA" w14:textId="76157650" w:rsidR="009406BE" w:rsidRPr="009406BE" w:rsidRDefault="009406BE" w:rsidP="009406BE">
                            <w:pPr>
                              <w:ind w:left="0" w:firstLine="0"/>
                              <w:rPr>
                                <w:rFonts w:ascii="Nirmala UI Semilight" w:hAnsi="Nirmala UI Semilight" w:cs="Nirmala UI Semilight"/>
                              </w:rPr>
                            </w:pPr>
                            <w:r w:rsidRPr="009406BE">
                              <w:rPr>
                                <w:rFonts w:ascii="Nirmala UI Semilight" w:hAnsi="Nirmala UI Semilight" w:cs="Nirmala UI Semilight"/>
                              </w:rPr>
                              <w:t>H</w:t>
                            </w:r>
                            <w:r>
                              <w:rPr>
                                <w:rFonts w:ascii="Nirmala UI Semilight" w:hAnsi="Nirmala UI Semilight" w:cs="Nirmala UI Semilight"/>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000CD" id="_x0000_s1033" type="#_x0000_t202" style="position:absolute;left:0;text-align:left;margin-left:179.15pt;margin-top:13.3pt;width:32.7pt;height:27.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" filled="f" stroked="f">
                <v:textbox>
                  <w:txbxContent>
                    <w:p w14:paraId="2EA4C6EA" w14:textId="76157650" w:rsidR="009406BE" w:rsidRPr="009406BE" w:rsidRDefault="009406BE" w:rsidP="009406BE">
                      <w:pPr>
                        <w:ind w:left="0" w:firstLine="0"/>
                        <w:rPr>
                          <w:rFonts w:ascii="Nirmala UI Semilight" w:hAnsi="Nirmala UI Semilight" w:cs="Nirmala UI Semilight"/>
                        </w:rPr>
                      </w:pPr>
                      <w:r w:rsidRPr="009406BE">
                        <w:rPr>
                          <w:rFonts w:ascii="Nirmala UI Semilight" w:hAnsi="Nirmala UI Semilight" w:cs="Nirmala UI Semilight"/>
                        </w:rPr>
                        <w:t>H</w:t>
                      </w:r>
                      <w:r>
                        <w:rPr>
                          <w:rFonts w:ascii="Nirmala UI Semilight" w:hAnsi="Nirmala UI Semilight" w:cs="Nirmala UI Semilight"/>
                          <w:vertAlign w:val="subscript"/>
                        </w:rPr>
                        <w:t>2</w:t>
                      </w:r>
                    </w:p>
                  </w:txbxContent>
                </v:textbox>
                <w10:wrap type="square"/>
              </v:shape>
            </w:pict>
          </mc:Fallback>
        </mc:AlternateContent>
      </w:r>
    </w:p>
    <w:p w14:paraId="2B2C5905" w14:textId="3AB7D7DC"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AAD3EBB" w14:textId="03EEDD7C"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FD4A5EE" w14:textId="1E6BD4B6" w:rsidR="002109F5" w:rsidRPr="00275C12" w:rsidRDefault="00570E0A" w:rsidP="002109F5">
      <w:pPr>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noProof/>
        </w:rPr>
        <mc:AlternateContent>
          <mc:Choice Requires="wps">
            <w:drawing>
              <wp:anchor distT="0" distB="0" distL="114300" distR="114300" simplePos="0" relativeHeight="251669504" behindDoc="0" locked="0" layoutInCell="1" allowOverlap="1" wp14:anchorId="52EC04B3" wp14:editId="16BD48FD">
                <wp:simplePos x="0" y="0"/>
                <wp:positionH relativeFrom="column">
                  <wp:posOffset>2281598</wp:posOffset>
                </wp:positionH>
                <wp:positionV relativeFrom="paragraph">
                  <wp:posOffset>174241</wp:posOffset>
                </wp:positionV>
                <wp:extent cx="1322102" cy="578588"/>
                <wp:effectExtent l="0" t="38100" r="49530" b="31115"/>
                <wp:wrapNone/>
                <wp:docPr id="1296205578" name="Straight Arrow Connector 2"/>
                <wp:cNvGraphicFramePr/>
                <a:graphic xmlns:a="http://schemas.openxmlformats.org/drawingml/2006/main">
                  <a:graphicData uri="http://schemas.microsoft.com/office/word/2010/wordprocessingShape">
                    <wps:wsp>
                      <wps:cNvCnPr/>
                      <wps:spPr>
                        <a:xfrm flipV="1">
                          <a:off x="0" y="0"/>
                          <a:ext cx="1322102" cy="5785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Straight Arrow Connector 2" style="position:absolute;margin-left:179.65pt;margin-top:13.7pt;width:104.1pt;height:45.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" w14:anchorId="46CA565D">
                <v:stroke joinstyle="miter" endarrow="block"/>
              </v:shape>
            </w:pict>
          </mc:Fallback>
        </mc:AlternateContent>
      </w:r>
    </w:p>
    <w:p w14:paraId="2BD18350" w14:textId="799BC0EE" w:rsidR="00570E0A" w:rsidRPr="00275C12" w:rsidRDefault="009406BE"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noProof/>
          <w:color w:val="000000"/>
          <w:lang w:val="en-ID"/>
        </w:rPr>
        <mc:AlternateContent>
          <mc:Choice Requires="wps">
            <w:drawing>
              <wp:anchor distT="45720" distB="45720" distL="114300" distR="114300" simplePos="0" relativeHeight="251675648" behindDoc="0" locked="0" layoutInCell="1" allowOverlap="1" wp14:anchorId="73850812" wp14:editId="65A09A51">
                <wp:simplePos x="0" y="0"/>
                <wp:positionH relativeFrom="column">
                  <wp:posOffset>2267016</wp:posOffset>
                </wp:positionH>
                <wp:positionV relativeFrom="paragraph">
                  <wp:posOffset>150157</wp:posOffset>
                </wp:positionV>
                <wp:extent cx="415290" cy="344170"/>
                <wp:effectExtent l="0" t="0" r="0" b="0"/>
                <wp:wrapSquare wrapText="bothSides"/>
                <wp:docPr id="1356548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344170"/>
                        </a:xfrm>
                        <a:prstGeom prst="rect">
                          <a:avLst/>
                        </a:prstGeom>
                        <a:noFill/>
                        <a:ln w="9525">
                          <a:noFill/>
                          <a:miter lim="800000"/>
                          <a:headEnd/>
                          <a:tailEnd/>
                        </a:ln>
                      </wps:spPr>
                      <wps:txbx>
                        <w:txbxContent>
                          <w:p w14:paraId="42C04D5E" w14:textId="3FE7338E" w:rsidR="009406BE" w:rsidRPr="009406BE" w:rsidRDefault="009406BE" w:rsidP="009406BE">
                            <w:pPr>
                              <w:ind w:left="0" w:firstLine="0"/>
                              <w:rPr>
                                <w:rFonts w:ascii="Nirmala UI Semilight" w:hAnsi="Nirmala UI Semilight" w:cs="Nirmala UI Semilight"/>
                              </w:rPr>
                            </w:pPr>
                            <w:r w:rsidRPr="009406BE">
                              <w:rPr>
                                <w:rFonts w:ascii="Nirmala UI Semilight" w:hAnsi="Nirmala UI Semilight" w:cs="Nirmala UI Semilight"/>
                              </w:rPr>
                              <w:t>H</w:t>
                            </w:r>
                            <w:r>
                              <w:rPr>
                                <w:rFonts w:ascii="Nirmala UI Semilight" w:hAnsi="Nirmala UI Semilight" w:cs="Nirmala UI Semilight"/>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50812" id="_x0000_s1034" type="#_x0000_t202" style="position:absolute;left:0;text-align:left;margin-left:178.5pt;margin-top:11.8pt;width:32.7pt;height:27.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" filled="f" stroked="f">
                <v:textbox>
                  <w:txbxContent>
                    <w:p w14:paraId="42C04D5E" w14:textId="3FE7338E" w:rsidR="009406BE" w:rsidRPr="009406BE" w:rsidRDefault="009406BE" w:rsidP="009406BE">
                      <w:pPr>
                        <w:ind w:left="0" w:firstLine="0"/>
                        <w:rPr>
                          <w:rFonts w:ascii="Nirmala UI Semilight" w:hAnsi="Nirmala UI Semilight" w:cs="Nirmala UI Semilight"/>
                        </w:rPr>
                      </w:pPr>
                      <w:r w:rsidRPr="009406BE">
                        <w:rPr>
                          <w:rFonts w:ascii="Nirmala UI Semilight" w:hAnsi="Nirmala UI Semilight" w:cs="Nirmala UI Semilight"/>
                        </w:rPr>
                        <w:t>H</w:t>
                      </w:r>
                      <w:r>
                        <w:rPr>
                          <w:rFonts w:ascii="Nirmala UI Semilight" w:hAnsi="Nirmala UI Semilight" w:cs="Nirmala UI Semilight"/>
                          <w:vertAlign w:val="subscript"/>
                        </w:rPr>
                        <w:t>3</w:t>
                      </w:r>
                    </w:p>
                  </w:txbxContent>
                </v:textbox>
                <w10:wrap type="square"/>
              </v:shape>
            </w:pict>
          </mc:Fallback>
        </mc:AlternateContent>
      </w:r>
      <w:r w:rsidR="00570E0A" w:rsidRPr="00275C12">
        <w:rPr>
          <w:rFonts w:ascii="Nirmala UI Semilight" w:hAnsi="Nirmala UI Semilight" w:cs="Nirmala UI Semilight"/>
          <w:noProof/>
        </w:rPr>
        <mc:AlternateContent>
          <mc:Choice Requires="wps">
            <w:drawing>
              <wp:anchor distT="0" distB="0" distL="114300" distR="114300" simplePos="0" relativeHeight="251667456" behindDoc="0" locked="0" layoutInCell="1" allowOverlap="1" wp14:anchorId="16A3BCFF" wp14:editId="37D8F110">
                <wp:simplePos x="0" y="0"/>
                <wp:positionH relativeFrom="column">
                  <wp:posOffset>824865</wp:posOffset>
                </wp:positionH>
                <wp:positionV relativeFrom="paragraph">
                  <wp:posOffset>139700</wp:posOffset>
                </wp:positionV>
                <wp:extent cx="1458500" cy="772795"/>
                <wp:effectExtent l="0" t="0" r="27940" b="27305"/>
                <wp:wrapNone/>
                <wp:docPr id="2073412745" name="Oval 1"/>
                <wp:cNvGraphicFramePr/>
                <a:graphic xmlns:a="http://schemas.openxmlformats.org/drawingml/2006/main">
                  <a:graphicData uri="http://schemas.microsoft.com/office/word/2010/wordprocessingShape">
                    <wps:wsp>
                      <wps:cNvSpPr/>
                      <wps:spPr>
                        <a:xfrm>
                          <a:off x="0" y="0"/>
                          <a:ext cx="1458500" cy="77279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F0EEFE" w14:textId="7083DB79" w:rsidR="00570E0A" w:rsidRPr="00787947" w:rsidRDefault="00570E0A" w:rsidP="00570E0A">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Sales Growth (X</w:t>
                            </w:r>
                            <w:r w:rsidRPr="00570E0A">
                              <w:rPr>
                                <w:rFonts w:ascii="Nirmala UI Semilight" w:hAnsi="Nirmala UI Semilight" w:cs="Nirmala UI Semilight"/>
                                <w:vertAlign w:val="subscript"/>
                              </w:rPr>
                              <w:t>3</w:t>
                            </w:r>
                            <w:r>
                              <w:rPr>
                                <w:rFonts w:ascii="Nirmala UI Semilight" w:hAnsi="Nirmala UI Semilight" w:cs="Nirmala UI Semiligh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A3BCFF" id="Oval 1" o:spid="_x0000_s1035" style="position:absolute;left:0;text-align:left;margin-left:64.95pt;margin-top:11pt;width:114.85pt;height:6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" fillcolor="white [3201]" strokecolor="black [3213]" strokeweight="1pt">
                <v:stroke joinstyle="miter"/>
                <v:textbox>
                  <w:txbxContent>
                    <w:p w14:paraId="32F0EEFE" w14:textId="7083DB79" w:rsidR="00570E0A" w:rsidRPr="00787947" w:rsidRDefault="00570E0A" w:rsidP="00570E0A">
                      <w:pPr>
                        <w:spacing w:after="0" w:line="240" w:lineRule="auto"/>
                        <w:ind w:left="0" w:firstLine="0"/>
                        <w:jc w:val="center"/>
                        <w:rPr>
                          <w:rFonts w:ascii="Nirmala UI Semilight" w:hAnsi="Nirmala UI Semilight" w:cs="Nirmala UI Semilight"/>
                        </w:rPr>
                      </w:pPr>
                      <w:r>
                        <w:rPr>
                          <w:rFonts w:ascii="Nirmala UI Semilight" w:hAnsi="Nirmala UI Semilight" w:cs="Nirmala UI Semilight"/>
                        </w:rPr>
                        <w:t>Sales Growth (X</w:t>
                      </w:r>
                      <w:r w:rsidRPr="00570E0A">
                        <w:rPr>
                          <w:rFonts w:ascii="Nirmala UI Semilight" w:hAnsi="Nirmala UI Semilight" w:cs="Nirmala UI Semilight"/>
                          <w:vertAlign w:val="subscript"/>
                        </w:rPr>
                        <w:t>3</w:t>
                      </w:r>
                      <w:r>
                        <w:rPr>
                          <w:rFonts w:ascii="Nirmala UI Semilight" w:hAnsi="Nirmala UI Semilight" w:cs="Nirmala UI Semilight"/>
                        </w:rPr>
                        <w:t>)</w:t>
                      </w:r>
                    </w:p>
                  </w:txbxContent>
                </v:textbox>
              </v:oval>
            </w:pict>
          </mc:Fallback>
        </mc:AlternateContent>
      </w:r>
    </w:p>
    <w:p w14:paraId="74165543" w14:textId="7CD45A5E" w:rsidR="00570E0A" w:rsidRPr="00275C12" w:rsidRDefault="00570E0A"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p>
    <w:p w14:paraId="687D2550" w14:textId="77777777" w:rsidR="00570E0A" w:rsidRPr="00275C12" w:rsidRDefault="00570E0A"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p>
    <w:p w14:paraId="313524EC" w14:textId="77777777" w:rsidR="00570E0A" w:rsidRPr="00275C12" w:rsidRDefault="00570E0A"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p>
    <w:p w14:paraId="6706D69B" w14:textId="240D6700" w:rsidR="002109F5" w:rsidRPr="00275C12" w:rsidRDefault="002109F5"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Figure 1 Research Framework</w:t>
      </w:r>
    </w:p>
    <w:p w14:paraId="17EAE182" w14:textId="77777777" w:rsidR="00787947" w:rsidRPr="00275C12"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9101DBC" w14:textId="1A3BDE0F" w:rsidR="002109F5" w:rsidRPr="00275C12" w:rsidRDefault="002109F5" w:rsidP="002109F5">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Hypothesis Development</w:t>
      </w:r>
    </w:p>
    <w:p w14:paraId="4425AD90" w14:textId="4F22178D" w:rsidR="002109F5" w:rsidRPr="00275C12" w:rsidRDefault="00A2312C" w:rsidP="002109F5">
      <w:pPr>
        <w:tabs>
          <w:tab w:val="left" w:pos="284"/>
        </w:tabs>
        <w:spacing w:after="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The Effect of CEO Tenure on Tax Avoidance</w:t>
      </w:r>
    </w:p>
    <w:p w14:paraId="20E77455" w14:textId="58CE7385" w:rsidR="00A2312C" w:rsidRPr="00275C12" w:rsidRDefault="002109F5" w:rsidP="00A2312C">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A2312C" w:rsidRPr="00275C12">
        <w:rPr>
          <w:rFonts w:ascii="Nirmala UI Semilight" w:eastAsia="Times New Roman" w:hAnsi="Nirmala UI Semilight" w:cs="Nirmala UI Semilight"/>
          <w:color w:val="000000"/>
        </w:rPr>
        <w:t>Based on positive accounting theory, which assumes that each individual will always act opportunistically for personal interests, the CEO as the highest board of directors in decision making will tend to take opportunistic actions by choosing accounting policies that can benefit the company, namely through tax avoidance practices to reduce the tax burden which is a component of political costs. Tax avoidance has the potential to save a significant amount of tax (Chen et al., 2010), this is beneficial for companies that bear a high enough tax burden in order to allocate company cash for other company interests. This action can be taken by the CEO to improve his reputation within the company so that the CEO can maintain his position for a long time. Chyz &amp; Gaeryner (2018) support this statement, namely that there is a relationship between CEO tenure and tax avoidance and proves that CEOs who do not practice tax avoidance adequately will be more likely to be dismissed from their positions.</w:t>
      </w:r>
    </w:p>
    <w:p w14:paraId="462F98D7" w14:textId="6A66B5EC" w:rsidR="002109F5" w:rsidRPr="00275C12" w:rsidRDefault="00A2312C" w:rsidP="00A2312C">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In the research of O'Shannassy &amp; Leenders (2016) states that the company's performance and performance will be better when led by a CEO with a long tenure. CEOs with longer tenure will massively practice tax avoidance to improve company performance so that they can maintain their position and reputation as CEO. This is in line with the results of research by Ulfa et al. (2021) which shows that CEO tenure has a positive influence on tax avoidance. However, Doho &amp; Santoso's research (2020) proves that CEO tenure has a negative effect on tax avoidance and research from Noviawan &amp; Utamie (2020) which shows that CEO tenure has no effect on tax avoidance. Based on these three studies, it can be concluded that there are still inconsistencies in the results of the effect of CEO tenure on tax avoidance. Therefore, the researcher formulates the first hypothesis as follows:</w:t>
      </w:r>
    </w:p>
    <w:p w14:paraId="5DCA90EA" w14:textId="14BEE1F5" w:rsidR="002109F5" w:rsidRPr="00275C12" w:rsidRDefault="002109F5" w:rsidP="002109F5">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H1: Internal CSR is positively and significantly related to employee job satisfaction.</w:t>
      </w:r>
    </w:p>
    <w:p w14:paraId="3C6C7D4F" w14:textId="77777777" w:rsidR="002109F5" w:rsidRPr="00275C12"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310A2C9A" w14:textId="6CC0297A" w:rsidR="002109F5" w:rsidRPr="00275C12" w:rsidRDefault="00C602B3" w:rsidP="002109F5">
      <w:pPr>
        <w:tabs>
          <w:tab w:val="left" w:pos="284"/>
        </w:tabs>
        <w:spacing w:after="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Effect of Financial Distress on Tax Avoidance</w:t>
      </w:r>
    </w:p>
    <w:p w14:paraId="0C6DEA3F" w14:textId="77777777" w:rsidR="00C602B3" w:rsidRPr="00275C12" w:rsidRDefault="002109F5" w:rsidP="00C602B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C602B3" w:rsidRPr="00275C12">
        <w:rPr>
          <w:rFonts w:ascii="Nirmala UI Semilight" w:eastAsia="Times New Roman" w:hAnsi="Nirmala UI Semilight" w:cs="Nirmala UI Semilight"/>
          <w:color w:val="000000"/>
        </w:rPr>
        <w:t xml:space="preserve">Financial distress occurs due to deteriorating company performance. Companies experiencing financial distress will try to utilize strategies to increase operating income and reduce the amount of production and even do tax avoidance. In addition, companies try to </w:t>
      </w:r>
      <w:r w:rsidR="00C602B3" w:rsidRPr="00275C12">
        <w:rPr>
          <w:rFonts w:ascii="Nirmala UI Semilight" w:eastAsia="Times New Roman" w:hAnsi="Nirmala UI Semilight" w:cs="Nirmala UI Semilight"/>
          <w:color w:val="000000"/>
        </w:rPr>
        <w:lastRenderedPageBreak/>
        <w:t>look in good condition even though they are experiencing financial distress. According to positive accounting theory, when the company is in poor financial condition, managers with opportunistic nature will carry out various strategies for the survival of the company. In the context of tax avoidance, managers will carry out a more massive tax avoidance strategy by utilizing the freedom to choose accounting method policies that can reduce fiscal income so as to reduce the tax burden (political cost) as an effort to overcome the financial difficulties faced.</w:t>
      </w:r>
    </w:p>
    <w:p w14:paraId="310F5BDD" w14:textId="5CCDDE6E" w:rsidR="00C602B3" w:rsidRPr="00275C12" w:rsidRDefault="00C602B3" w:rsidP="00C602B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According to research conducted by Sadjiarto et al. (2020) regarding the effect of financial distress on tax avoidance. The results stated that financial distress has a positive influence on tax avoidance. These results are supported by research conducted by Dang &amp; Tran (2021) which shows that financial distress has a positive effect on tax avoidance. However, the results of this study are not in line with research by Ariff et al. (2020) which proves that financial distress has a negative effect on tax avoidance. Therefore, the results obtained from the three studies are different so that the researchers formulated the following hypothesis:</w:t>
      </w:r>
    </w:p>
    <w:p w14:paraId="11E8F4F6" w14:textId="35440CBF" w:rsidR="002109F5" w:rsidRPr="00275C12" w:rsidRDefault="00C602B3" w:rsidP="00C602B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H2: Financial Distress has a positive effect on Tax Avoidance</w:t>
      </w:r>
    </w:p>
    <w:p w14:paraId="40D637DC" w14:textId="77777777" w:rsidR="002109F5" w:rsidRPr="00275C12"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33210CC2" w14:textId="01F81702" w:rsidR="00C602B3" w:rsidRPr="00275C12" w:rsidRDefault="00C602B3" w:rsidP="00C602B3">
      <w:pPr>
        <w:tabs>
          <w:tab w:val="left" w:pos="284"/>
        </w:tabs>
        <w:spacing w:after="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The Effect of Sales Growth on Tax Avoidance</w:t>
      </w:r>
    </w:p>
    <w:p w14:paraId="74074C69" w14:textId="77777777" w:rsidR="00C602B3" w:rsidRPr="00275C12" w:rsidRDefault="00C602B3" w:rsidP="00C602B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Sales growth shows the development of the level of sales growth from year to year. Increased growth has the potential to expand the company's operating capacity. The greater the sales volume indicates the company's sales growth is increasing. The increase in sales is assumed to result in an increase in company profits. The increase in profits will affect the tax burden that must be paid to a greater amount so that the company has the potential to take tax avoidance actions. Based on positive accounting theory, companies with high levels of profit attract the attention of the government and regulators so that they will be monitored more closely because they are considered tax subjects that can benefit the state. Sales growth can be explained by the concept of political cost hypothesis in positive accounting theory which states that companies with increasing sales growth will potentially earn a greater amount of profit. Companies with a large amount of profit will incur political costs in the form of a larger tax burden as well, this causes managers to act opportunistically by choosing accounting policies that can minimize profits so that the tax burden borne by the company becomes low, giving rise to tax avoidance practices. Thus, an increase in sales growth will encourage companies to carry out more massive tax avoidance activities.</w:t>
      </w:r>
    </w:p>
    <w:p w14:paraId="6C5508E8" w14:textId="6597BF6D" w:rsidR="00C602B3" w:rsidRPr="00275C12" w:rsidRDefault="00C602B3" w:rsidP="00C602B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According to research from Fauzan et al. (2019) on manufacturing companies listed on the Indonesia Stock Exchange shows the results that the greater the increase in sales growth, the greater the practice of tax avoidance. In the research of Afrianti et al. (2022) also supports the results of previous research, namely the results found that sales growth has a positive effect on tax avoidance. However, research conducted by Hermi &amp; Petrawati (2023) found that sales growth does not affect tax avoidance practices in the company. Therefore, researchers will develop the third hypothesis in this study, namely:</w:t>
      </w:r>
    </w:p>
    <w:p w14:paraId="18DF8922" w14:textId="15439B1A" w:rsidR="00C602B3" w:rsidRPr="00275C12" w:rsidRDefault="00C602B3" w:rsidP="00C602B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H3: Sales Growth has a positive effect on Tax Avoidance</w:t>
      </w:r>
    </w:p>
    <w:p w14:paraId="678ECDC5" w14:textId="77777777" w:rsidR="00C602B3" w:rsidRPr="00275C12" w:rsidRDefault="00C602B3"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94D13BE" w14:textId="77777777" w:rsidR="00A13CC2" w:rsidRPr="00275C1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sidRPr="00275C12">
        <w:rPr>
          <w:rFonts w:ascii="Nirmala UI Semilight" w:hAnsi="Nirmala UI Semilight" w:cs="Nirmala UI Semilight"/>
          <w:sz w:val="22"/>
          <w:szCs w:val="22"/>
        </w:rPr>
        <w:t>RESEARCH METHODOLOGY</w:t>
      </w:r>
    </w:p>
    <w:p w14:paraId="4CFB3DAF" w14:textId="77777777" w:rsidR="00A13CC2" w:rsidRPr="00275C12" w:rsidRDefault="00000000">
      <w:pPr>
        <w:pStyle w:val="Heading2"/>
        <w:numPr>
          <w:ilvl w:val="0"/>
          <w:numId w:val="26"/>
        </w:numPr>
        <w:spacing w:before="0" w:line="240" w:lineRule="auto"/>
        <w:ind w:left="360"/>
        <w:rPr>
          <w:rFonts w:ascii="Nirmala UI Semilight" w:eastAsia="Times New Roman" w:hAnsi="Nirmala UI Semilight" w:cs="Nirmala UI Semilight"/>
          <w:i/>
          <w:iCs/>
        </w:rPr>
      </w:pPr>
      <w:r w:rsidRPr="00275C12">
        <w:rPr>
          <w:rFonts w:ascii="Nirmala UI Semilight" w:eastAsia="Times New Roman" w:hAnsi="Nirmala UI Semilight" w:cs="Nirmala UI Semilight"/>
          <w:i/>
          <w:iCs/>
          <w:color w:val="auto"/>
          <w:sz w:val="22"/>
          <w:szCs w:val="22"/>
        </w:rPr>
        <w:t>Type of Research</w:t>
      </w:r>
    </w:p>
    <w:p w14:paraId="5D7A3E5C" w14:textId="7F1D5E3E" w:rsidR="00A13CC2" w:rsidRPr="00275C12" w:rsidRDefault="00982CE5">
      <w:pPr>
        <w:pStyle w:val="ListParagraph"/>
        <w:tabs>
          <w:tab w:val="left" w:pos="340"/>
        </w:tabs>
        <w:spacing w:after="120" w:line="240" w:lineRule="auto"/>
        <w:ind w:left="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This research uses a quantitative approach, in which the data collected is numerical and analyzed using statistical calculations. This approach is objective, measurable, and systematic, with the aim of testing previously formulated hypotheses. In this study, the quantitative </w:t>
      </w:r>
      <w:r w:rsidRPr="00275C12">
        <w:rPr>
          <w:rFonts w:ascii="Nirmala UI Semilight" w:eastAsia="Times New Roman" w:hAnsi="Nirmala UI Semilight" w:cs="Nirmala UI Semilight"/>
          <w:color w:val="000000"/>
        </w:rPr>
        <w:lastRenderedPageBreak/>
        <w:t>approach is used to examine the relationship between tax avoidance as the dependent variable with financial distress, CEO tenure, and sales growth as independent variables.</w:t>
      </w:r>
    </w:p>
    <w:p w14:paraId="35B73CD1" w14:textId="675B4B97" w:rsidR="00A13CC2" w:rsidRPr="00275C12" w:rsidRDefault="00E23BD9">
      <w:pPr>
        <w:pStyle w:val="Heading2"/>
        <w:numPr>
          <w:ilvl w:val="0"/>
          <w:numId w:val="26"/>
        </w:numPr>
        <w:spacing w:before="0" w:line="240" w:lineRule="auto"/>
        <w:ind w:left="360"/>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Population</w:t>
      </w:r>
    </w:p>
    <w:p w14:paraId="1552EE4F" w14:textId="641B24F4" w:rsidR="00B934A6" w:rsidRPr="00275C12" w:rsidRDefault="002A5076">
      <w:pPr>
        <w:pStyle w:val="ListParagraph"/>
        <w:tabs>
          <w:tab w:val="left" w:pos="340"/>
        </w:tabs>
        <w:spacing w:after="120" w:line="240" w:lineRule="auto"/>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E23BD9" w:rsidRPr="00275C12">
        <w:rPr>
          <w:rFonts w:ascii="Nirmala UI Semilight" w:eastAsia="Times New Roman" w:hAnsi="Nirmala UI Semilight" w:cs="Nirmala UI Semilight"/>
          <w:color w:val="000000"/>
        </w:rPr>
        <w:t>The population in this study are all non-cyclical consumer sector companies listed on the Indonesia Stock Exchange (IDX) in 2020-2022, totaling 113 companies. The selection of this sector is based on the case of tax avoidance practices that have been carried out by PT Japfa Comfeed Indonesia Tbk, and because the consumer non-cyclical sector dominates the capital market with a proportion of 13.7% of the total companies listed on the IDX. Given its significant role, tax avoidance practices in this sector have the potential to cause large losses to state revenue from taxes.</w:t>
      </w:r>
    </w:p>
    <w:p w14:paraId="41E15EF1" w14:textId="51F4E1CF" w:rsidR="00A13CC2" w:rsidRPr="00275C12" w:rsidRDefault="00E23BD9">
      <w:pPr>
        <w:pStyle w:val="Heading2"/>
        <w:numPr>
          <w:ilvl w:val="0"/>
          <w:numId w:val="26"/>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Sample</w:t>
      </w:r>
    </w:p>
    <w:p w14:paraId="40479B52" w14:textId="2A0C2027" w:rsidR="00F74CC0" w:rsidRPr="00275C12" w:rsidRDefault="0000616C" w:rsidP="002A5076">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bookmarkStart w:id="2" w:name="_Hlk160379845"/>
      <w:r w:rsidRPr="00275C12">
        <w:rPr>
          <w:rFonts w:ascii="Nirmala UI Semilight" w:eastAsia="Times New Roman" w:hAnsi="Nirmala UI Semilight" w:cs="Nirmala UI Semilight"/>
          <w:color w:val="000000"/>
        </w:rPr>
        <w:tab/>
      </w:r>
      <w:r w:rsidR="002109F5" w:rsidRPr="00275C12">
        <w:rPr>
          <w:rFonts w:ascii="Nirmala UI Semilight" w:eastAsia="Times New Roman" w:hAnsi="Nirmala UI Semilight" w:cs="Nirmala UI Semilight"/>
          <w:color w:val="000000"/>
        </w:rPr>
        <w:t xml:space="preserve">The data used in this study are primary data, which are obtained </w:t>
      </w:r>
      <w:r w:rsidR="00E23BD9" w:rsidRPr="00275C12">
        <w:rPr>
          <w:rFonts w:ascii="Nirmala UI Semilight" w:eastAsia="Times New Roman" w:hAnsi="Nirmala UI Semilight" w:cs="Nirmala UI Semilight"/>
          <w:color w:val="000000"/>
        </w:rPr>
        <w:t xml:space="preserve">by the research </w:t>
      </w:r>
      <w:r w:rsidR="002109F5" w:rsidRPr="00275C12">
        <w:rPr>
          <w:rFonts w:ascii="Nirmala UI Semilight" w:eastAsia="Times New Roman" w:hAnsi="Nirmala UI Semilight" w:cs="Nirmala UI Semilight"/>
          <w:color w:val="000000"/>
        </w:rPr>
        <w:t xml:space="preserve">sample </w:t>
      </w:r>
      <w:r w:rsidR="00E23BD9" w:rsidRPr="00275C12">
        <w:rPr>
          <w:rFonts w:ascii="Nirmala UI Semilight" w:eastAsia="Times New Roman" w:hAnsi="Nirmala UI Semilight" w:cs="Nirmala UI Semilight"/>
          <w:color w:val="000000"/>
        </w:rPr>
        <w:t>determined by purposive sampling method, namely selection based on certain criteria relevant to the research objectives. These criteria include: non-cyclical consumer sector companies listed on the IDX for the 2020-2022 period, reporting audited financial and annual reports in a row, not experiencing losses, obtaining a 19% tax rate according to Law No. 7 of 2021, and using the reporting currency Rupiah. Based on these criteria, 34 companies were obtained as samples with a total of 102 observations over the three-year research period.</w:t>
      </w:r>
    </w:p>
    <w:p w14:paraId="68625277" w14:textId="0A0F8831" w:rsidR="00A13CC2" w:rsidRPr="00275C12" w:rsidRDefault="00E23BD9">
      <w:pPr>
        <w:pStyle w:val="Heading2"/>
        <w:numPr>
          <w:ilvl w:val="0"/>
          <w:numId w:val="26"/>
        </w:numPr>
        <w:spacing w:before="12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 xml:space="preserve">Types and Sources of </w:t>
      </w:r>
      <w:r w:rsidR="002109F5" w:rsidRPr="00275C12">
        <w:rPr>
          <w:rFonts w:ascii="Nirmala UI Semilight" w:eastAsia="Times New Roman" w:hAnsi="Nirmala UI Semilight" w:cs="Nirmala UI Semilight"/>
          <w:i/>
          <w:iCs/>
          <w:color w:val="auto"/>
          <w:sz w:val="22"/>
          <w:szCs w:val="22"/>
        </w:rPr>
        <w:t>Datal</w:t>
      </w:r>
    </w:p>
    <w:p w14:paraId="53FDF6E2" w14:textId="3C5E8065" w:rsidR="002109F5" w:rsidRPr="00275C12" w:rsidRDefault="00000000" w:rsidP="0000616C">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E23BD9" w:rsidRPr="00275C12">
        <w:rPr>
          <w:rFonts w:ascii="Nirmala UI Semilight" w:eastAsia="Times New Roman" w:hAnsi="Nirmala UI Semilight" w:cs="Nirmala UI Semilight"/>
          <w:color w:val="000000"/>
        </w:rPr>
        <w:t>This study uses secondary data, in the form of annual financial reports (annual reports) of non-cyclical consumer sector companies listed on the IDX for the 2020-2022 period. Data is obtained through the official IDX website (www.idx.co.id) and the official website of each company.</w:t>
      </w:r>
    </w:p>
    <w:p w14:paraId="18D01E5A" w14:textId="1E5CFA78" w:rsidR="00E23BD9" w:rsidRPr="00275C12" w:rsidRDefault="00E23BD9" w:rsidP="00E23BD9">
      <w:pPr>
        <w:pStyle w:val="Heading2"/>
        <w:numPr>
          <w:ilvl w:val="0"/>
          <w:numId w:val="26"/>
        </w:numPr>
        <w:spacing w:before="12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Data Collection Technique</w:t>
      </w:r>
    </w:p>
    <w:p w14:paraId="2B8FCACF" w14:textId="3174101E" w:rsidR="00E23BD9" w:rsidRPr="00275C12" w:rsidRDefault="00356359" w:rsidP="0000616C">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The data collection technique in this study uses the documentation method, namely by collecting financial reports of non-cyclical consumer sector companies listed on the IDX for the 2020-2022 period. Data is searched, compiled, and reviewed according to the research sample criteria.</w:t>
      </w:r>
    </w:p>
    <w:p w14:paraId="464B3F7D" w14:textId="12462EFA" w:rsidR="00356359" w:rsidRPr="00275C12" w:rsidRDefault="00356359" w:rsidP="00356359">
      <w:pPr>
        <w:pStyle w:val="Heading2"/>
        <w:numPr>
          <w:ilvl w:val="0"/>
          <w:numId w:val="26"/>
        </w:numPr>
        <w:spacing w:before="12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Operational Definition of Variables</w:t>
      </w:r>
    </w:p>
    <w:p w14:paraId="66A9F6C1" w14:textId="4C662A7A" w:rsidR="00356359" w:rsidRPr="00275C12" w:rsidRDefault="00356359" w:rsidP="0000616C">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lang w:val="en-ID"/>
        </w:rPr>
        <w:tab/>
        <w:t>Variables can have different or varying values, these values can be different at different times for the same object or person or at the same time for different objects or people (Bougie &amp; Sekaran, 2019: 86). This study uses two types of variables, namely dependent and independent variables. The dependent variable studied is tax avoidance, and the independent variables in the study consist of CEO tenure, financial distress, and sales growth. The following is an operational definition of the variables presented in Table 1.</w:t>
      </w:r>
    </w:p>
    <w:p w14:paraId="4E1928E3" w14:textId="77777777" w:rsidR="00356359" w:rsidRPr="00275C12" w:rsidRDefault="00356359" w:rsidP="0000616C">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p>
    <w:p w14:paraId="30B42C27" w14:textId="7BB825C2" w:rsidR="00356359" w:rsidRPr="00275C12" w:rsidRDefault="00356359" w:rsidP="00356359">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Table 1. Operational Definition of Variables</w:t>
      </w:r>
    </w:p>
    <w:tbl>
      <w:tblPr>
        <w:tblStyle w:val="TableGrid"/>
        <w:tblW w:w="0" w:type="auto"/>
        <w:tblLook w:val="04A0" w:firstRow="1" w:lastRow="0" w:firstColumn="1" w:lastColumn="0" w:noHBand="0" w:noVBand="1"/>
      </w:tblPr>
      <w:tblGrid>
        <w:gridCol w:w="3681"/>
        <w:gridCol w:w="5096"/>
      </w:tblGrid>
      <w:tr w:rsidR="00356359" w:rsidRPr="00275C12" w14:paraId="211BEF1B" w14:textId="77777777" w:rsidTr="00B3602C">
        <w:trPr>
          <w:tblHeader/>
        </w:trPr>
        <w:tc>
          <w:tcPr>
            <w:tcW w:w="3681" w:type="dxa"/>
          </w:tcPr>
          <w:p w14:paraId="5D1FCDBD" w14:textId="04164E63" w:rsidR="00356359" w:rsidRPr="00275C12" w:rsidRDefault="00356359" w:rsidP="00356359">
            <w:pPr>
              <w:pStyle w:val="ListParagraph"/>
              <w:tabs>
                <w:tab w:val="left" w:pos="284"/>
              </w:tabs>
              <w:ind w:left="0" w:firstLine="0"/>
              <w:contextualSpacing w:val="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Variable</w:t>
            </w:r>
          </w:p>
        </w:tc>
        <w:tc>
          <w:tcPr>
            <w:tcW w:w="5096" w:type="dxa"/>
          </w:tcPr>
          <w:p w14:paraId="2824A6B3" w14:textId="51C6927E" w:rsidR="00356359" w:rsidRPr="00275C12" w:rsidRDefault="00356359" w:rsidP="00356359">
            <w:pPr>
              <w:pStyle w:val="ListParagraph"/>
              <w:tabs>
                <w:tab w:val="left" w:pos="284"/>
              </w:tabs>
              <w:ind w:left="0" w:firstLine="0"/>
              <w:contextualSpacing w:val="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Measurement</w:t>
            </w:r>
          </w:p>
        </w:tc>
      </w:tr>
      <w:tr w:rsidR="00356359" w:rsidRPr="00275C12" w14:paraId="7EE36219" w14:textId="77777777" w:rsidTr="00356359">
        <w:tc>
          <w:tcPr>
            <w:tcW w:w="3681" w:type="dxa"/>
          </w:tcPr>
          <w:p w14:paraId="47B09CA0" w14:textId="4CED9267" w:rsidR="00356359" w:rsidRPr="00275C12" w:rsidRDefault="00356359" w:rsidP="0000616C">
            <w:pPr>
              <w:pStyle w:val="ListParagraph"/>
              <w:tabs>
                <w:tab w:val="left" w:pos="284"/>
              </w:tabs>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Tax Avoidance</w:t>
            </w:r>
          </w:p>
        </w:tc>
        <w:tc>
          <w:tcPr>
            <w:tcW w:w="5096" w:type="dxa"/>
          </w:tcPr>
          <w:p w14:paraId="5D757A58" w14:textId="51AD71F5" w:rsidR="00356359" w:rsidRPr="00275C12" w:rsidRDefault="00356359" w:rsidP="0000616C">
            <w:pPr>
              <w:pStyle w:val="ListParagraph"/>
              <w:tabs>
                <w:tab w:val="left" w:pos="284"/>
              </w:tabs>
              <w:ind w:left="0" w:firstLine="0"/>
              <w:contextualSpacing w:val="0"/>
              <w:rPr>
                <w:rFonts w:ascii="Nirmala UI Semilight" w:eastAsia="Times New Roman" w:hAnsi="Nirmala UI Semilight" w:cs="Nirmala UI Semilight"/>
                <w:color w:val="000000"/>
              </w:rPr>
            </w:pPr>
            <m:oMathPara>
              <m:oMathParaPr>
                <m:jc m:val="left"/>
              </m:oMathParaPr>
              <m:oMath>
                <m:r>
                  <w:rPr>
                    <w:rFonts w:ascii="Cambria Math" w:eastAsia="Times New Roman" w:hAnsi="Cambria Math" w:cs="Nirmala UI Semilight"/>
                    <w:color w:val="000000"/>
                  </w:rPr>
                  <m:t>CETR=</m:t>
                </m:r>
                <m:f>
                  <m:fPr>
                    <m:ctrlPr>
                      <w:rPr>
                        <w:rFonts w:ascii="Cambria Math" w:eastAsia="Times New Roman" w:hAnsi="Cambria Math" w:cs="Nirmala UI Semilight"/>
                        <w:i/>
                        <w:color w:val="000000"/>
                      </w:rPr>
                    </m:ctrlPr>
                  </m:fPr>
                  <m:num>
                    <m:r>
                      <w:rPr>
                        <w:rFonts w:ascii="Cambria Math" w:eastAsia="Times New Roman" w:hAnsi="Cambria Math" w:cs="Nirmala UI Semilight"/>
                        <w:color w:val="000000"/>
                      </w:rPr>
                      <m:t>Cash Tax Paid</m:t>
                    </m:r>
                  </m:num>
                  <m:den>
                    <m:r>
                      <w:rPr>
                        <w:rFonts w:ascii="Cambria Math" w:eastAsia="Times New Roman" w:hAnsi="Cambria Math" w:cs="Nirmala UI Semilight"/>
                        <w:color w:val="000000"/>
                      </w:rPr>
                      <m:t>Profit Before Tax</m:t>
                    </m:r>
                  </m:den>
                </m:f>
              </m:oMath>
            </m:oMathPara>
          </w:p>
        </w:tc>
      </w:tr>
      <w:tr w:rsidR="00356359" w:rsidRPr="00275C12" w14:paraId="6504CF7D" w14:textId="77777777" w:rsidTr="00356359">
        <w:tc>
          <w:tcPr>
            <w:tcW w:w="3681" w:type="dxa"/>
          </w:tcPr>
          <w:p w14:paraId="74375B01" w14:textId="46D421D5" w:rsidR="00356359" w:rsidRPr="00275C12" w:rsidRDefault="00356359" w:rsidP="0000616C">
            <w:pPr>
              <w:pStyle w:val="ListParagraph"/>
              <w:tabs>
                <w:tab w:val="left" w:pos="284"/>
              </w:tabs>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CEO Tenure</w:t>
            </w:r>
          </w:p>
        </w:tc>
        <w:tc>
          <w:tcPr>
            <w:tcW w:w="5096" w:type="dxa"/>
          </w:tcPr>
          <w:p w14:paraId="0AAB345F" w14:textId="15DE576C" w:rsidR="00356359" w:rsidRPr="00275C12" w:rsidRDefault="00356359" w:rsidP="0000616C">
            <w:pPr>
              <w:pStyle w:val="ListParagraph"/>
              <w:tabs>
                <w:tab w:val="left" w:pos="284"/>
              </w:tabs>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The number of years of the CEO or the length of tenure of the main director since occupying the position disclosed in the annual report</w:t>
            </w:r>
          </w:p>
        </w:tc>
      </w:tr>
      <w:tr w:rsidR="00356359" w:rsidRPr="00275C12" w14:paraId="64873B60" w14:textId="77777777" w:rsidTr="00356359">
        <w:tc>
          <w:tcPr>
            <w:tcW w:w="3681" w:type="dxa"/>
          </w:tcPr>
          <w:p w14:paraId="0498EA58" w14:textId="73195568" w:rsidR="00356359" w:rsidRPr="00275C12" w:rsidRDefault="00356359" w:rsidP="0000616C">
            <w:pPr>
              <w:pStyle w:val="ListParagraph"/>
              <w:tabs>
                <w:tab w:val="left" w:pos="284"/>
              </w:tabs>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Financial Distress</w:t>
            </w:r>
          </w:p>
        </w:tc>
        <w:tc>
          <w:tcPr>
            <w:tcW w:w="5096" w:type="dxa"/>
          </w:tcPr>
          <w:p w14:paraId="7962F613" w14:textId="6E793266" w:rsidR="00356359" w:rsidRPr="00275C12" w:rsidRDefault="00356359" w:rsidP="0000616C">
            <w:pPr>
              <w:pStyle w:val="ListParagraph"/>
              <w:tabs>
                <w:tab w:val="left" w:pos="284"/>
              </w:tabs>
              <w:ind w:left="0" w:firstLine="0"/>
              <w:contextualSpacing w:val="0"/>
              <w:rPr>
                <w:rFonts w:ascii="Nirmala UI Semilight" w:eastAsia="Times New Roman" w:hAnsi="Nirmala UI Semilight" w:cs="Nirmala UI Semilight"/>
                <w:color w:val="000000"/>
              </w:rPr>
            </w:pPr>
            <m:oMathPara>
              <m:oMathParaPr>
                <m:jc m:val="left"/>
              </m:oMathParaPr>
              <m:oMath>
                <m:r>
                  <w:rPr>
                    <w:rFonts w:ascii="Cambria Math" w:eastAsia="Times New Roman" w:hAnsi="Cambria Math" w:cs="Nirmala UI Semilight"/>
                    <w:color w:val="000000"/>
                  </w:rPr>
                  <m:t>Z=6.56</m:t>
                </m:r>
                <m:sSub>
                  <m:sSubPr>
                    <m:ctrlPr>
                      <w:rPr>
                        <w:rFonts w:ascii="Cambria Math" w:eastAsia="Times New Roman" w:hAnsi="Cambria Math" w:cs="Nirmala UI Semilight"/>
                        <w:i/>
                        <w:color w:val="000000"/>
                      </w:rPr>
                    </m:ctrlPr>
                  </m:sSubPr>
                  <m:e>
                    <m:r>
                      <w:rPr>
                        <w:rFonts w:ascii="Cambria Math" w:eastAsia="Times New Roman" w:hAnsi="Cambria Math" w:cs="Nirmala UI Semilight"/>
                        <w:color w:val="000000"/>
                      </w:rPr>
                      <m:t>X</m:t>
                    </m:r>
                  </m:e>
                  <m:sub>
                    <m:r>
                      <w:rPr>
                        <w:rFonts w:ascii="Cambria Math" w:eastAsia="Times New Roman" w:hAnsi="Cambria Math" w:cs="Nirmala UI Semilight"/>
                        <w:color w:val="000000"/>
                      </w:rPr>
                      <m:t>1</m:t>
                    </m:r>
                  </m:sub>
                </m:sSub>
                <m:r>
                  <w:rPr>
                    <w:rFonts w:ascii="Cambria Math" w:eastAsia="Times New Roman" w:hAnsi="Cambria Math" w:cs="Nirmala UI Semilight"/>
                    <w:color w:val="000000"/>
                  </w:rPr>
                  <m:t>+3.26</m:t>
                </m:r>
                <m:sSub>
                  <m:sSubPr>
                    <m:ctrlPr>
                      <w:rPr>
                        <w:rFonts w:ascii="Cambria Math" w:eastAsia="Times New Roman" w:hAnsi="Cambria Math" w:cs="Nirmala UI Semilight"/>
                        <w:i/>
                        <w:color w:val="000000"/>
                      </w:rPr>
                    </m:ctrlPr>
                  </m:sSubPr>
                  <m:e>
                    <m:r>
                      <w:rPr>
                        <w:rFonts w:ascii="Cambria Math" w:eastAsia="Times New Roman" w:hAnsi="Cambria Math" w:cs="Nirmala UI Semilight"/>
                        <w:color w:val="000000"/>
                      </w:rPr>
                      <m:t>X</m:t>
                    </m:r>
                  </m:e>
                  <m:sub>
                    <m:r>
                      <w:rPr>
                        <w:rFonts w:ascii="Cambria Math" w:eastAsia="Times New Roman" w:hAnsi="Cambria Math" w:cs="Nirmala UI Semilight"/>
                        <w:color w:val="000000"/>
                      </w:rPr>
                      <m:t>2</m:t>
                    </m:r>
                  </m:sub>
                </m:sSub>
                <m:r>
                  <w:rPr>
                    <w:rFonts w:ascii="Cambria Math" w:eastAsia="Times New Roman" w:hAnsi="Cambria Math" w:cs="Nirmala UI Semilight"/>
                    <w:color w:val="000000"/>
                  </w:rPr>
                  <m:t>+6.72</m:t>
                </m:r>
                <m:sSub>
                  <m:sSubPr>
                    <m:ctrlPr>
                      <w:rPr>
                        <w:rFonts w:ascii="Cambria Math" w:eastAsia="Times New Roman" w:hAnsi="Cambria Math" w:cs="Nirmala UI Semilight"/>
                        <w:i/>
                        <w:color w:val="000000"/>
                      </w:rPr>
                    </m:ctrlPr>
                  </m:sSubPr>
                  <m:e>
                    <m:r>
                      <w:rPr>
                        <w:rFonts w:ascii="Cambria Math" w:eastAsia="Times New Roman" w:hAnsi="Cambria Math" w:cs="Nirmala UI Semilight"/>
                        <w:color w:val="000000"/>
                      </w:rPr>
                      <m:t>X</m:t>
                    </m:r>
                  </m:e>
                  <m:sub>
                    <m:r>
                      <w:rPr>
                        <w:rFonts w:ascii="Cambria Math" w:eastAsia="Times New Roman" w:hAnsi="Cambria Math" w:cs="Nirmala UI Semilight"/>
                        <w:color w:val="000000"/>
                      </w:rPr>
                      <m:t>3</m:t>
                    </m:r>
                  </m:sub>
                </m:sSub>
                <m:r>
                  <w:rPr>
                    <w:rFonts w:ascii="Cambria Math" w:eastAsia="Times New Roman" w:hAnsi="Cambria Math" w:cs="Nirmala UI Semilight"/>
                    <w:color w:val="000000"/>
                  </w:rPr>
                  <m:t>+1.05</m:t>
                </m:r>
                <m:sSub>
                  <m:sSubPr>
                    <m:ctrlPr>
                      <w:rPr>
                        <w:rFonts w:ascii="Cambria Math" w:eastAsia="Times New Roman" w:hAnsi="Cambria Math" w:cs="Nirmala UI Semilight"/>
                        <w:i/>
                        <w:color w:val="000000"/>
                      </w:rPr>
                    </m:ctrlPr>
                  </m:sSubPr>
                  <m:e>
                    <m:r>
                      <w:rPr>
                        <w:rFonts w:ascii="Cambria Math" w:eastAsia="Times New Roman" w:hAnsi="Cambria Math" w:cs="Nirmala UI Semilight"/>
                        <w:color w:val="000000"/>
                      </w:rPr>
                      <m:t>X</m:t>
                    </m:r>
                  </m:e>
                  <m:sub>
                    <m:r>
                      <w:rPr>
                        <w:rFonts w:ascii="Cambria Math" w:eastAsia="Times New Roman" w:hAnsi="Cambria Math" w:cs="Nirmala UI Semilight"/>
                        <w:color w:val="000000"/>
                      </w:rPr>
                      <m:t>4</m:t>
                    </m:r>
                  </m:sub>
                </m:sSub>
              </m:oMath>
            </m:oMathPara>
          </w:p>
        </w:tc>
      </w:tr>
      <w:tr w:rsidR="00356359" w:rsidRPr="00275C12" w14:paraId="0AACB806" w14:textId="77777777" w:rsidTr="00356359">
        <w:tc>
          <w:tcPr>
            <w:tcW w:w="3681" w:type="dxa"/>
          </w:tcPr>
          <w:p w14:paraId="7CDEF7A7" w14:textId="072A5B6F" w:rsidR="00356359" w:rsidRPr="00275C12" w:rsidRDefault="00356359" w:rsidP="0000616C">
            <w:pPr>
              <w:pStyle w:val="ListParagraph"/>
              <w:tabs>
                <w:tab w:val="left" w:pos="284"/>
              </w:tabs>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lastRenderedPageBreak/>
              <w:t>Sales Growth</w:t>
            </w:r>
          </w:p>
        </w:tc>
        <w:tc>
          <w:tcPr>
            <w:tcW w:w="5096" w:type="dxa"/>
          </w:tcPr>
          <w:p w14:paraId="10CFB057" w14:textId="10CC9029" w:rsidR="00356359" w:rsidRPr="00275C12" w:rsidRDefault="00356359" w:rsidP="0000616C">
            <w:pPr>
              <w:pStyle w:val="ListParagraph"/>
              <w:tabs>
                <w:tab w:val="left" w:pos="284"/>
              </w:tabs>
              <w:ind w:left="0" w:firstLine="0"/>
              <w:contextualSpacing w:val="0"/>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Sales Growth=</m:t>
                </m:r>
                <m:f>
                  <m:fPr>
                    <m:ctrlPr>
                      <w:rPr>
                        <w:rFonts w:ascii="Cambria Math" w:eastAsia="Times New Roman" w:hAnsi="Cambria Math" w:cs="Nirmala UI Semilight"/>
                        <w:i/>
                        <w:color w:val="000000"/>
                      </w:rPr>
                    </m:ctrlPr>
                  </m:fPr>
                  <m:num>
                    <m:sSub>
                      <m:sSubPr>
                        <m:ctrlPr>
                          <w:rPr>
                            <w:rFonts w:ascii="Cambria Math" w:eastAsia="Times New Roman" w:hAnsi="Cambria Math" w:cs="Nirmala UI Semilight"/>
                            <w:i/>
                            <w:color w:val="000000"/>
                          </w:rPr>
                        </m:ctrlPr>
                      </m:sSubPr>
                      <m:e>
                        <m:r>
                          <w:rPr>
                            <w:rFonts w:ascii="Cambria Math" w:eastAsia="Times New Roman" w:hAnsi="Cambria Math" w:cs="Nirmala UI Semilight"/>
                            <w:color w:val="000000"/>
                          </w:rPr>
                          <m:t>Net Sales</m:t>
                        </m:r>
                      </m:e>
                      <m:sub>
                        <m:r>
                          <w:rPr>
                            <w:rFonts w:ascii="Cambria Math" w:eastAsia="Times New Roman" w:hAnsi="Cambria Math" w:cs="Nirmala UI Semilight"/>
                            <w:color w:val="000000"/>
                          </w:rPr>
                          <m:t>t</m:t>
                        </m:r>
                      </m:sub>
                    </m:sSub>
                    <m:r>
                      <w:rPr>
                        <w:rFonts w:ascii="Cambria Math" w:eastAsia="Times New Roman" w:hAnsi="Cambria Math" w:cs="Nirmala UI Semilight"/>
                        <w:color w:val="000000"/>
                      </w:rPr>
                      <m:t>-</m:t>
                    </m:r>
                    <m:sSub>
                      <m:sSubPr>
                        <m:ctrlPr>
                          <w:rPr>
                            <w:rFonts w:ascii="Cambria Math" w:eastAsia="Times New Roman" w:hAnsi="Cambria Math" w:cs="Nirmala UI Semilight"/>
                            <w:i/>
                            <w:color w:val="000000"/>
                          </w:rPr>
                        </m:ctrlPr>
                      </m:sSubPr>
                      <m:e>
                        <m:r>
                          <w:rPr>
                            <w:rFonts w:ascii="Cambria Math" w:eastAsia="Times New Roman" w:hAnsi="Cambria Math" w:cs="Nirmala UI Semilight"/>
                            <w:color w:val="000000"/>
                          </w:rPr>
                          <m:t>Net Sales</m:t>
                        </m:r>
                      </m:e>
                      <m:sub>
                        <m:r>
                          <w:rPr>
                            <w:rFonts w:ascii="Cambria Math" w:eastAsia="Times New Roman" w:hAnsi="Cambria Math" w:cs="Nirmala UI Semilight"/>
                            <w:color w:val="000000"/>
                          </w:rPr>
                          <m:t>t-1</m:t>
                        </m:r>
                      </m:sub>
                    </m:sSub>
                  </m:num>
                  <m:den>
                    <m:sSub>
                      <m:sSubPr>
                        <m:ctrlPr>
                          <w:rPr>
                            <w:rFonts w:ascii="Cambria Math" w:eastAsia="Times New Roman" w:hAnsi="Cambria Math" w:cs="Nirmala UI Semilight"/>
                            <w:i/>
                            <w:color w:val="000000"/>
                          </w:rPr>
                        </m:ctrlPr>
                      </m:sSubPr>
                      <m:e>
                        <m:r>
                          <w:rPr>
                            <w:rFonts w:ascii="Cambria Math" w:eastAsia="Times New Roman" w:hAnsi="Cambria Math" w:cs="Nirmala UI Semilight"/>
                            <w:color w:val="000000"/>
                          </w:rPr>
                          <m:t>Net Sales</m:t>
                        </m:r>
                      </m:e>
                      <m:sub>
                        <m:r>
                          <w:rPr>
                            <w:rFonts w:ascii="Cambria Math" w:eastAsia="Times New Roman" w:hAnsi="Cambria Math" w:cs="Nirmala UI Semilight"/>
                            <w:color w:val="000000"/>
                          </w:rPr>
                          <m:t>t-1</m:t>
                        </m:r>
                      </m:sub>
                    </m:sSub>
                  </m:den>
                </m:f>
                <m:r>
                  <w:rPr>
                    <w:rFonts w:ascii="Cambria Math" w:eastAsia="Times New Roman" w:hAnsi="Cambria Math" w:cs="Nirmala UI Semilight"/>
                    <w:color w:val="000000"/>
                  </w:rPr>
                  <m:t>x100%</m:t>
                </m:r>
              </m:oMath>
            </m:oMathPara>
          </w:p>
        </w:tc>
      </w:tr>
    </w:tbl>
    <w:p w14:paraId="2E58591E" w14:textId="77777777" w:rsidR="00356359" w:rsidRPr="00275C12" w:rsidRDefault="00356359" w:rsidP="0000616C">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p>
    <w:p w14:paraId="4EC443A5" w14:textId="2C9260E1" w:rsidR="002109F5" w:rsidRPr="00275C12"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Dependent Variable</w:t>
      </w:r>
    </w:p>
    <w:p w14:paraId="1394F59F" w14:textId="04243154" w:rsidR="002109F5" w:rsidRPr="00275C12"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356359" w:rsidRPr="00275C12">
        <w:rPr>
          <w:rFonts w:ascii="Nirmala UI Semilight" w:eastAsia="Times New Roman" w:hAnsi="Nirmala UI Semilight" w:cs="Nirmala UI Semilight"/>
          <w:color w:val="000000"/>
        </w:rPr>
        <w:t>The dependent variable or dependent variable in this study is tax avoidance. Tax avoidance is defined as a legal effort made by taxpayers to reduce the tax burden without violating tax provisions (Hanlon et al., 2010). The measurement of tax avoidance in this study uses the Cash Effective Tax Rate (CETR) proxy, which is the ratio between cash paid for tax expenses and profit before tax. The use of CETR has been widely used in previous studies, such as those conducted by Sadjiarto et al. (2020), Fauzan et al. (2019), Afrianti et al. (2022), Ulfa et al. (2021), and Noviawan &amp; Utamie (2020).</w:t>
      </w:r>
    </w:p>
    <w:p w14:paraId="4E729423" w14:textId="77777777" w:rsidR="002109F5" w:rsidRPr="00275C12"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p>
    <w:p w14:paraId="4B7F289F" w14:textId="2983CAAB" w:rsidR="002109F5" w:rsidRPr="00275C12"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Independent Variables</w:t>
      </w:r>
    </w:p>
    <w:p w14:paraId="1D947672" w14:textId="169EAE76" w:rsidR="00356359" w:rsidRPr="00275C12" w:rsidRDefault="002109F5" w:rsidP="00356359">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356359" w:rsidRPr="00275C12">
        <w:rPr>
          <w:rFonts w:ascii="Nirmala UI Semilight" w:eastAsia="Times New Roman" w:hAnsi="Nirmala UI Semilight" w:cs="Nirmala UI Semilight"/>
          <w:color w:val="000000"/>
        </w:rPr>
        <w:t>Independent variables or independent variables can affect the dependent variable either positively or negatively. When there is an independent variable, the dependent variable also exists, and every one increase in the unit of the independent variable will increase or decrease the dependent variable. In other words, variations in the dependent variable are explained by variations in the independent variable (Bougie &amp; Sekaran, 2019: 86). In this study, the variables used are CEO tenure, financial distress, and sales growth.</w:t>
      </w:r>
    </w:p>
    <w:bookmarkEnd w:id="2"/>
    <w:p w14:paraId="260B2792" w14:textId="0AB0DDEF" w:rsidR="00A13CC2" w:rsidRPr="00275C12" w:rsidRDefault="002B25BE">
      <w:pPr>
        <w:pStyle w:val="Heading2"/>
        <w:numPr>
          <w:ilvl w:val="0"/>
          <w:numId w:val="26"/>
        </w:numPr>
        <w:spacing w:before="120" w:line="240" w:lineRule="auto"/>
        <w:ind w:left="357" w:hanging="357"/>
        <w:rPr>
          <w:rFonts w:ascii="Nirmala UI Semilight" w:eastAsia="Times New Roman" w:hAnsi="Nirmala UI Semilight" w:cs="Nirmala UI Semilight"/>
        </w:rPr>
      </w:pPr>
      <w:r w:rsidRPr="00275C12">
        <w:rPr>
          <w:rFonts w:ascii="Nirmala UI Semilight" w:eastAsia="Times New Roman" w:hAnsi="Nirmala UI Semilight" w:cs="Nirmala UI Semilight"/>
          <w:i/>
          <w:iCs/>
          <w:color w:val="auto"/>
          <w:sz w:val="22"/>
          <w:szCs w:val="22"/>
        </w:rPr>
        <w:t>Data Analysis Method</w:t>
      </w:r>
    </w:p>
    <w:p w14:paraId="2C2E6474" w14:textId="062247DA" w:rsidR="00787947" w:rsidRPr="00275C12" w:rsidRDefault="00000000"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356359" w:rsidRPr="00275C12">
        <w:rPr>
          <w:rFonts w:ascii="Nirmala UI Semilight" w:eastAsia="Times New Roman" w:hAnsi="Nirmala UI Semilight" w:cs="Nirmala UI Semilight"/>
          <w:color w:val="000000"/>
          <w:lang w:val="en-ID"/>
        </w:rPr>
        <w:t xml:space="preserve">Data analysis is part of the data testing process and the results will be used to draw research conclusions. This process involves collecting, processing, and interpreting data to obtain relevant and useful information. To obtain relevant data results or evidence in research, it is necessary to use statistical techniques to analyze the data. In this study, the data analysis method was carried out using the </w:t>
      </w:r>
      <w:r w:rsidR="00356359" w:rsidRPr="00275C12">
        <w:rPr>
          <w:rFonts w:ascii="Nirmala UI Semilight" w:eastAsia="Times New Roman" w:hAnsi="Nirmala UI Semilight" w:cs="Nirmala UI Semilight"/>
          <w:i/>
          <w:iCs/>
          <w:color w:val="000000"/>
          <w:lang w:val="en-ID"/>
        </w:rPr>
        <w:t xml:space="preserve">Econometric Views </w:t>
      </w:r>
      <w:r w:rsidR="00356359" w:rsidRPr="00275C12">
        <w:rPr>
          <w:rFonts w:ascii="Nirmala UI Semilight" w:eastAsia="Times New Roman" w:hAnsi="Nirmala UI Semilight" w:cs="Nirmala UI Semilight"/>
          <w:color w:val="000000"/>
          <w:lang w:val="en-ID"/>
        </w:rPr>
        <w:t>(</w:t>
      </w:r>
      <w:r w:rsidR="00356359" w:rsidRPr="00275C12">
        <w:rPr>
          <w:rFonts w:ascii="Nirmala UI Semilight" w:eastAsia="Times New Roman" w:hAnsi="Nirmala UI Semilight" w:cs="Nirmala UI Semilight"/>
          <w:i/>
          <w:iCs/>
          <w:color w:val="000000"/>
          <w:lang w:val="en-ID"/>
        </w:rPr>
        <w:t>Eviews</w:t>
      </w:r>
      <w:r w:rsidR="00356359" w:rsidRPr="00275C12">
        <w:rPr>
          <w:rFonts w:ascii="Nirmala UI Semilight" w:eastAsia="Times New Roman" w:hAnsi="Nirmala UI Semilight" w:cs="Nirmala UI Semilight"/>
          <w:color w:val="000000"/>
          <w:lang w:val="en-ID"/>
        </w:rPr>
        <w:t xml:space="preserve">) version 12 application to process data sourced from annual reports on the Indonesia Stock Exchange or the official </w:t>
      </w:r>
      <w:r w:rsidR="00356359" w:rsidRPr="00275C12">
        <w:rPr>
          <w:rFonts w:ascii="Nirmala UI Semilight" w:eastAsia="Times New Roman" w:hAnsi="Nirmala UI Semilight" w:cs="Nirmala UI Semilight"/>
          <w:i/>
          <w:iCs/>
          <w:color w:val="000000"/>
          <w:lang w:val="en-ID"/>
        </w:rPr>
        <w:t xml:space="preserve">website of </w:t>
      </w:r>
      <w:r w:rsidR="00356359" w:rsidRPr="00275C12">
        <w:rPr>
          <w:rFonts w:ascii="Nirmala UI Semilight" w:eastAsia="Times New Roman" w:hAnsi="Nirmala UI Semilight" w:cs="Nirmala UI Semilight"/>
          <w:color w:val="000000"/>
          <w:lang w:val="en-ID"/>
        </w:rPr>
        <w:t>each company.</w:t>
      </w:r>
    </w:p>
    <w:p w14:paraId="1B1579C9" w14:textId="77777777" w:rsidR="002B25BE" w:rsidRPr="00275C12" w:rsidRDefault="002B25BE"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p>
    <w:p w14:paraId="5176401A" w14:textId="77777777" w:rsidR="00A13CC2" w:rsidRPr="00275C12" w:rsidRDefault="002B2AB9" w:rsidP="002B25BE">
      <w:pPr>
        <w:pStyle w:val="Heading1"/>
        <w:numPr>
          <w:ilvl w:val="0"/>
          <w:numId w:val="22"/>
        </w:numPr>
        <w:tabs>
          <w:tab w:val="left" w:pos="284"/>
        </w:tabs>
        <w:spacing w:before="0" w:beforeAutospacing="0" w:after="0" w:afterAutospacing="0"/>
        <w:ind w:left="0" w:firstLine="0"/>
        <w:rPr>
          <w:rFonts w:ascii="Nirmala UI Semilight" w:hAnsi="Nirmala UI Semilight" w:cs="Nirmala UI Semilight"/>
          <w:sz w:val="22"/>
          <w:szCs w:val="22"/>
        </w:rPr>
      </w:pPr>
      <w:r w:rsidRPr="00275C12">
        <w:rPr>
          <w:rFonts w:ascii="Nirmala UI Semilight" w:hAnsi="Nirmala UI Semilight" w:cs="Nirmala UI Semilight"/>
          <w:sz w:val="22"/>
          <w:szCs w:val="22"/>
        </w:rPr>
        <w:t>RESULT AND DISCUSSION</w:t>
      </w:r>
    </w:p>
    <w:p w14:paraId="4085F458" w14:textId="0223CCB8" w:rsidR="00A13CC2" w:rsidRPr="00275C12" w:rsidRDefault="00485269">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Descriptive Statistical Test</w:t>
      </w:r>
    </w:p>
    <w:p w14:paraId="6DFBB812" w14:textId="4E7C6EFA" w:rsidR="00A13CC2" w:rsidRPr="00275C12" w:rsidRDefault="00000000">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485269" w:rsidRPr="00275C12">
        <w:rPr>
          <w:rFonts w:ascii="Nirmala UI Semilight" w:eastAsia="Times New Roman" w:hAnsi="Nirmala UI Semilight" w:cs="Nirmala UI Semilight"/>
          <w:color w:val="000000"/>
        </w:rPr>
        <w:t>Based on the descriptive statistical test results in Table 2, the number of observations used in this study was 102 sample data. The tax avoidance variable has a minimum value of 0.003640 and a maximum of 14.61938, with an average of 0.635870 and a standard deviation of 2.448324. The lowest value is owned by PT Mayora Indah Tbk. (2020), while the highest value is at PT Delta Djakarta Tbk. (2022). The CEO tenure variable shows a minimum value of 1.000000 and a maximum of 20.00000, with an average of 10.02941 and a standard deviation of 5.999102. The lowest value is found at PT Nippon Indosari Corpindo Tbk. (2020) and the highest at PT Salim Ivomas Pratama Tbk. (2022). The financial distress variable has a minimum value of 0.297375 and a maximum of 12.17040, with an average of 3.060629 and a standard deviation of 2.207354. The lowest value is shown by PT Millennium Pharmacon International (2020), while the highest value is found at PT Campina Ice Cream Industry Tbk. (2022). Meanwhile, the sales growth variable has a minimum value of -0.998718 and a maximum of 4.913281, with an average of 0.065623 and a standard deviation of 0.609263. The lowest value is in PT Delta Djakarta Tbk. (2022), while the highest value is in PT Sariguna Primatirta Tbk. (2020).</w:t>
      </w:r>
    </w:p>
    <w:p w14:paraId="343F2F11" w14:textId="77777777" w:rsidR="002B25BE" w:rsidRPr="00275C12"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1BCE6CA" w14:textId="022A3F19" w:rsidR="002B25BE" w:rsidRPr="00275C12"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Table </w:t>
      </w:r>
      <w:r w:rsidR="00485269" w:rsidRPr="00275C12">
        <w:rPr>
          <w:rFonts w:ascii="Nirmala UI Semilight" w:eastAsia="Times New Roman" w:hAnsi="Nirmala UI Semilight" w:cs="Nirmala UI Semilight"/>
          <w:color w:val="000000"/>
        </w:rPr>
        <w:t>2</w:t>
      </w:r>
      <w:r w:rsidRPr="00275C12">
        <w:rPr>
          <w:rFonts w:ascii="Nirmala UI Semilight" w:eastAsia="Times New Roman" w:hAnsi="Nirmala UI Semilight" w:cs="Nirmala UI Semilight"/>
          <w:color w:val="000000"/>
        </w:rPr>
        <w:t>. Validity and Reliability Test Results</w:t>
      </w:r>
    </w:p>
    <w:tbl>
      <w:tblPr>
        <w:tblStyle w:val="TableGrid"/>
        <w:tblW w:w="0" w:type="auto"/>
        <w:jc w:val="center"/>
        <w:tblLook w:val="04A0" w:firstRow="1" w:lastRow="0" w:firstColumn="1" w:lastColumn="0" w:noHBand="0" w:noVBand="1"/>
      </w:tblPr>
      <w:tblGrid>
        <w:gridCol w:w="2021"/>
        <w:gridCol w:w="1587"/>
        <w:gridCol w:w="1348"/>
        <w:gridCol w:w="1819"/>
        <w:gridCol w:w="1447"/>
      </w:tblGrid>
      <w:tr w:rsidR="00485269" w:rsidRPr="00275C12" w14:paraId="2DA6A9A0" w14:textId="77777777" w:rsidTr="00485269">
        <w:trPr>
          <w:tblHeader/>
          <w:jc w:val="center"/>
        </w:trPr>
        <w:tc>
          <w:tcPr>
            <w:tcW w:w="0" w:type="auto"/>
            <w:hideMark/>
          </w:tcPr>
          <w:p w14:paraId="453A5013" w14:textId="77777777" w:rsidR="00485269" w:rsidRPr="00275C12" w:rsidRDefault="00485269" w:rsidP="00485269">
            <w:pPr>
              <w:spacing w:after="160" w:line="259" w:lineRule="auto"/>
              <w:ind w:left="0" w:firstLine="0"/>
              <w:jc w:val="center"/>
              <w:rPr>
                <w:rFonts w:ascii="Nirmala UI Semilight" w:hAnsi="Nirmala UI Semilight" w:cs="Nirmala UI Semilight"/>
                <w:b/>
                <w:bCs/>
              </w:rPr>
            </w:pPr>
            <w:r w:rsidRPr="00275C12">
              <w:rPr>
                <w:rFonts w:ascii="Nirmala UI Semilight" w:hAnsi="Nirmala UI Semilight" w:cs="Nirmala UI Semilight"/>
                <w:b/>
                <w:bCs/>
              </w:rPr>
              <w:t>Statistics</w:t>
            </w:r>
          </w:p>
        </w:tc>
        <w:tc>
          <w:tcPr>
            <w:tcW w:w="0" w:type="auto"/>
            <w:hideMark/>
          </w:tcPr>
          <w:p w14:paraId="691EC523" w14:textId="77777777" w:rsidR="00485269" w:rsidRPr="00275C12" w:rsidRDefault="00485269" w:rsidP="00485269">
            <w:pPr>
              <w:spacing w:after="160" w:line="259" w:lineRule="auto"/>
              <w:ind w:left="0" w:firstLine="0"/>
              <w:jc w:val="center"/>
              <w:rPr>
                <w:rFonts w:ascii="Nirmala UI Semilight" w:hAnsi="Nirmala UI Semilight" w:cs="Nirmala UI Semilight"/>
                <w:b/>
                <w:bCs/>
              </w:rPr>
            </w:pPr>
            <w:r w:rsidRPr="00275C12">
              <w:rPr>
                <w:rFonts w:ascii="Nirmala UI Semilight" w:hAnsi="Nirmala UI Semilight" w:cs="Nirmala UI Semilight"/>
                <w:b/>
                <w:bCs/>
              </w:rPr>
              <w:t>Tax Avoidance</w:t>
            </w:r>
          </w:p>
        </w:tc>
        <w:tc>
          <w:tcPr>
            <w:tcW w:w="0" w:type="auto"/>
            <w:hideMark/>
          </w:tcPr>
          <w:p w14:paraId="5C7DC08E" w14:textId="77777777" w:rsidR="00485269" w:rsidRPr="00275C12" w:rsidRDefault="00485269" w:rsidP="00485269">
            <w:pPr>
              <w:spacing w:after="160" w:line="259" w:lineRule="auto"/>
              <w:ind w:left="0" w:firstLine="0"/>
              <w:jc w:val="center"/>
              <w:rPr>
                <w:rFonts w:ascii="Nirmala UI Semilight" w:hAnsi="Nirmala UI Semilight" w:cs="Nirmala UI Semilight"/>
                <w:b/>
                <w:bCs/>
              </w:rPr>
            </w:pPr>
            <w:r w:rsidRPr="00275C12">
              <w:rPr>
                <w:rFonts w:ascii="Nirmala UI Semilight" w:hAnsi="Nirmala UI Semilight" w:cs="Nirmala UI Semilight"/>
                <w:b/>
                <w:bCs/>
              </w:rPr>
              <w:t>CEO Tenure</w:t>
            </w:r>
          </w:p>
        </w:tc>
        <w:tc>
          <w:tcPr>
            <w:tcW w:w="0" w:type="auto"/>
            <w:hideMark/>
          </w:tcPr>
          <w:p w14:paraId="5F50F68E" w14:textId="77777777" w:rsidR="00485269" w:rsidRPr="00275C12" w:rsidRDefault="00485269" w:rsidP="00485269">
            <w:pPr>
              <w:spacing w:after="160" w:line="259" w:lineRule="auto"/>
              <w:ind w:left="0" w:firstLine="0"/>
              <w:jc w:val="center"/>
              <w:rPr>
                <w:rFonts w:ascii="Nirmala UI Semilight" w:hAnsi="Nirmala UI Semilight" w:cs="Nirmala UI Semilight"/>
                <w:b/>
                <w:bCs/>
              </w:rPr>
            </w:pPr>
            <w:r w:rsidRPr="00275C12">
              <w:rPr>
                <w:rFonts w:ascii="Nirmala UI Semilight" w:hAnsi="Nirmala UI Semilight" w:cs="Nirmala UI Semilight"/>
                <w:b/>
                <w:bCs/>
              </w:rPr>
              <w:t>Financial Distress</w:t>
            </w:r>
          </w:p>
        </w:tc>
        <w:tc>
          <w:tcPr>
            <w:tcW w:w="0" w:type="auto"/>
            <w:hideMark/>
          </w:tcPr>
          <w:p w14:paraId="400F7FCD" w14:textId="77777777" w:rsidR="00485269" w:rsidRPr="00275C12" w:rsidRDefault="00485269" w:rsidP="00485269">
            <w:pPr>
              <w:spacing w:after="160" w:line="259" w:lineRule="auto"/>
              <w:ind w:left="0" w:firstLine="0"/>
              <w:jc w:val="center"/>
              <w:rPr>
                <w:rFonts w:ascii="Nirmala UI Semilight" w:hAnsi="Nirmala UI Semilight" w:cs="Nirmala UI Semilight"/>
                <w:b/>
                <w:bCs/>
              </w:rPr>
            </w:pPr>
            <w:r w:rsidRPr="00275C12">
              <w:rPr>
                <w:rFonts w:ascii="Nirmala UI Semilight" w:hAnsi="Nirmala UI Semilight" w:cs="Nirmala UI Semilight"/>
                <w:b/>
                <w:bCs/>
              </w:rPr>
              <w:t>Sales Growth</w:t>
            </w:r>
          </w:p>
        </w:tc>
      </w:tr>
      <w:tr w:rsidR="00485269" w:rsidRPr="00275C12" w14:paraId="09A2F52B" w14:textId="77777777" w:rsidTr="00485269">
        <w:trPr>
          <w:jc w:val="center"/>
        </w:trPr>
        <w:tc>
          <w:tcPr>
            <w:tcW w:w="0" w:type="auto"/>
            <w:hideMark/>
          </w:tcPr>
          <w:p w14:paraId="6DC623E8"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Mean</w:t>
            </w:r>
          </w:p>
        </w:tc>
        <w:tc>
          <w:tcPr>
            <w:tcW w:w="0" w:type="auto"/>
            <w:hideMark/>
          </w:tcPr>
          <w:p w14:paraId="655C71BE"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0,635870</w:t>
            </w:r>
          </w:p>
        </w:tc>
        <w:tc>
          <w:tcPr>
            <w:tcW w:w="0" w:type="auto"/>
            <w:hideMark/>
          </w:tcPr>
          <w:p w14:paraId="2684669C"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10,02941</w:t>
            </w:r>
          </w:p>
        </w:tc>
        <w:tc>
          <w:tcPr>
            <w:tcW w:w="0" w:type="auto"/>
            <w:hideMark/>
          </w:tcPr>
          <w:p w14:paraId="40612751"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3,060629</w:t>
            </w:r>
          </w:p>
        </w:tc>
        <w:tc>
          <w:tcPr>
            <w:tcW w:w="0" w:type="auto"/>
            <w:hideMark/>
          </w:tcPr>
          <w:p w14:paraId="6A2E348D"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0,065623</w:t>
            </w:r>
          </w:p>
        </w:tc>
      </w:tr>
      <w:tr w:rsidR="00485269" w:rsidRPr="00275C12" w14:paraId="5877A843" w14:textId="77777777" w:rsidTr="00485269">
        <w:trPr>
          <w:jc w:val="center"/>
        </w:trPr>
        <w:tc>
          <w:tcPr>
            <w:tcW w:w="0" w:type="auto"/>
            <w:hideMark/>
          </w:tcPr>
          <w:p w14:paraId="4BA43455"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Median</w:t>
            </w:r>
          </w:p>
        </w:tc>
        <w:tc>
          <w:tcPr>
            <w:tcW w:w="0" w:type="auto"/>
            <w:hideMark/>
          </w:tcPr>
          <w:p w14:paraId="7578862E"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0,229588</w:t>
            </w:r>
          </w:p>
        </w:tc>
        <w:tc>
          <w:tcPr>
            <w:tcW w:w="0" w:type="auto"/>
            <w:hideMark/>
          </w:tcPr>
          <w:p w14:paraId="2BC082BB"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8,000000</w:t>
            </w:r>
          </w:p>
        </w:tc>
        <w:tc>
          <w:tcPr>
            <w:tcW w:w="0" w:type="auto"/>
            <w:hideMark/>
          </w:tcPr>
          <w:p w14:paraId="136408B1"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2,499968</w:t>
            </w:r>
          </w:p>
        </w:tc>
        <w:tc>
          <w:tcPr>
            <w:tcW w:w="0" w:type="auto"/>
            <w:hideMark/>
          </w:tcPr>
          <w:p w14:paraId="7FAE3016"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0,077599</w:t>
            </w:r>
          </w:p>
        </w:tc>
      </w:tr>
      <w:tr w:rsidR="00485269" w:rsidRPr="00275C12" w14:paraId="5FDFC000" w14:textId="77777777" w:rsidTr="00485269">
        <w:trPr>
          <w:jc w:val="center"/>
        </w:trPr>
        <w:tc>
          <w:tcPr>
            <w:tcW w:w="0" w:type="auto"/>
            <w:hideMark/>
          </w:tcPr>
          <w:p w14:paraId="017EFE51"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Maximum</w:t>
            </w:r>
          </w:p>
        </w:tc>
        <w:tc>
          <w:tcPr>
            <w:tcW w:w="0" w:type="auto"/>
            <w:hideMark/>
          </w:tcPr>
          <w:p w14:paraId="7FEF1315"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14,61938</w:t>
            </w:r>
          </w:p>
        </w:tc>
        <w:tc>
          <w:tcPr>
            <w:tcW w:w="0" w:type="auto"/>
            <w:hideMark/>
          </w:tcPr>
          <w:p w14:paraId="11BC0C89"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20,00000</w:t>
            </w:r>
          </w:p>
        </w:tc>
        <w:tc>
          <w:tcPr>
            <w:tcW w:w="0" w:type="auto"/>
            <w:hideMark/>
          </w:tcPr>
          <w:p w14:paraId="7639A52E"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12,17040</w:t>
            </w:r>
          </w:p>
        </w:tc>
        <w:tc>
          <w:tcPr>
            <w:tcW w:w="0" w:type="auto"/>
            <w:hideMark/>
          </w:tcPr>
          <w:p w14:paraId="1C82C582"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4,913281</w:t>
            </w:r>
          </w:p>
        </w:tc>
      </w:tr>
      <w:tr w:rsidR="00485269" w:rsidRPr="00275C12" w14:paraId="49461872" w14:textId="77777777" w:rsidTr="00485269">
        <w:trPr>
          <w:jc w:val="center"/>
        </w:trPr>
        <w:tc>
          <w:tcPr>
            <w:tcW w:w="0" w:type="auto"/>
            <w:hideMark/>
          </w:tcPr>
          <w:p w14:paraId="25D5AD8C"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Minimum</w:t>
            </w:r>
          </w:p>
        </w:tc>
        <w:tc>
          <w:tcPr>
            <w:tcW w:w="0" w:type="auto"/>
            <w:hideMark/>
          </w:tcPr>
          <w:p w14:paraId="116F9CC5"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0,003640</w:t>
            </w:r>
          </w:p>
        </w:tc>
        <w:tc>
          <w:tcPr>
            <w:tcW w:w="0" w:type="auto"/>
            <w:hideMark/>
          </w:tcPr>
          <w:p w14:paraId="01DDDAEE"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1,000000</w:t>
            </w:r>
          </w:p>
        </w:tc>
        <w:tc>
          <w:tcPr>
            <w:tcW w:w="0" w:type="auto"/>
            <w:hideMark/>
          </w:tcPr>
          <w:p w14:paraId="37249A21"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0,297375</w:t>
            </w:r>
          </w:p>
        </w:tc>
        <w:tc>
          <w:tcPr>
            <w:tcW w:w="0" w:type="auto"/>
            <w:hideMark/>
          </w:tcPr>
          <w:p w14:paraId="1239AA47"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-0,998718</w:t>
            </w:r>
          </w:p>
        </w:tc>
      </w:tr>
      <w:tr w:rsidR="00485269" w:rsidRPr="00275C12" w14:paraId="1B284E4A" w14:textId="77777777" w:rsidTr="00485269">
        <w:trPr>
          <w:jc w:val="center"/>
        </w:trPr>
        <w:tc>
          <w:tcPr>
            <w:tcW w:w="0" w:type="auto"/>
            <w:hideMark/>
          </w:tcPr>
          <w:p w14:paraId="21249F2A"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Standard Deviation</w:t>
            </w:r>
          </w:p>
        </w:tc>
        <w:tc>
          <w:tcPr>
            <w:tcW w:w="0" w:type="auto"/>
            <w:hideMark/>
          </w:tcPr>
          <w:p w14:paraId="14FAC841"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2,448324</w:t>
            </w:r>
          </w:p>
        </w:tc>
        <w:tc>
          <w:tcPr>
            <w:tcW w:w="0" w:type="auto"/>
            <w:hideMark/>
          </w:tcPr>
          <w:p w14:paraId="73E12FB7"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5,999102</w:t>
            </w:r>
          </w:p>
        </w:tc>
        <w:tc>
          <w:tcPr>
            <w:tcW w:w="0" w:type="auto"/>
            <w:hideMark/>
          </w:tcPr>
          <w:p w14:paraId="20F071F9"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2,207354</w:t>
            </w:r>
          </w:p>
        </w:tc>
        <w:tc>
          <w:tcPr>
            <w:tcW w:w="0" w:type="auto"/>
            <w:hideMark/>
          </w:tcPr>
          <w:p w14:paraId="435125EA"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0,609263</w:t>
            </w:r>
          </w:p>
        </w:tc>
      </w:tr>
      <w:tr w:rsidR="00485269" w:rsidRPr="00275C12" w14:paraId="3B7B3439" w14:textId="77777777" w:rsidTr="00485269">
        <w:trPr>
          <w:jc w:val="center"/>
        </w:trPr>
        <w:tc>
          <w:tcPr>
            <w:tcW w:w="0" w:type="auto"/>
            <w:hideMark/>
          </w:tcPr>
          <w:p w14:paraId="74501CE9"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Skewness</w:t>
            </w:r>
          </w:p>
        </w:tc>
        <w:tc>
          <w:tcPr>
            <w:tcW w:w="0" w:type="auto"/>
            <w:hideMark/>
          </w:tcPr>
          <w:p w14:paraId="4072010B"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5,555356</w:t>
            </w:r>
          </w:p>
        </w:tc>
        <w:tc>
          <w:tcPr>
            <w:tcW w:w="0" w:type="auto"/>
            <w:hideMark/>
          </w:tcPr>
          <w:p w14:paraId="709EDA23"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0,251913</w:t>
            </w:r>
          </w:p>
        </w:tc>
        <w:tc>
          <w:tcPr>
            <w:tcW w:w="0" w:type="auto"/>
            <w:hideMark/>
          </w:tcPr>
          <w:p w14:paraId="19235413"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2,628835</w:t>
            </w:r>
          </w:p>
        </w:tc>
        <w:tc>
          <w:tcPr>
            <w:tcW w:w="0" w:type="auto"/>
            <w:hideMark/>
          </w:tcPr>
          <w:p w14:paraId="7B5D0AFB"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4,735293</w:t>
            </w:r>
          </w:p>
        </w:tc>
      </w:tr>
      <w:tr w:rsidR="00485269" w:rsidRPr="00275C12" w14:paraId="7DBCD5F7" w14:textId="77777777" w:rsidTr="00485269">
        <w:trPr>
          <w:jc w:val="center"/>
        </w:trPr>
        <w:tc>
          <w:tcPr>
            <w:tcW w:w="0" w:type="auto"/>
            <w:hideMark/>
          </w:tcPr>
          <w:p w14:paraId="008F3E0F"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Kurtosis</w:t>
            </w:r>
          </w:p>
        </w:tc>
        <w:tc>
          <w:tcPr>
            <w:tcW w:w="0" w:type="auto"/>
            <w:hideMark/>
          </w:tcPr>
          <w:p w14:paraId="124C86A4"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31,92158</w:t>
            </w:r>
          </w:p>
        </w:tc>
        <w:tc>
          <w:tcPr>
            <w:tcW w:w="0" w:type="auto"/>
            <w:hideMark/>
          </w:tcPr>
          <w:p w14:paraId="1CD5F61B"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1,427914</w:t>
            </w:r>
          </w:p>
        </w:tc>
        <w:tc>
          <w:tcPr>
            <w:tcW w:w="0" w:type="auto"/>
            <w:hideMark/>
          </w:tcPr>
          <w:p w14:paraId="574F3573"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11,24555</w:t>
            </w:r>
          </w:p>
        </w:tc>
        <w:tc>
          <w:tcPr>
            <w:tcW w:w="0" w:type="auto"/>
            <w:hideMark/>
          </w:tcPr>
          <w:p w14:paraId="14C2517D"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40,99877</w:t>
            </w:r>
          </w:p>
        </w:tc>
      </w:tr>
      <w:tr w:rsidR="00485269" w:rsidRPr="00275C12" w14:paraId="6EA2505C" w14:textId="77777777" w:rsidTr="00485269">
        <w:trPr>
          <w:jc w:val="center"/>
        </w:trPr>
        <w:tc>
          <w:tcPr>
            <w:tcW w:w="0" w:type="auto"/>
            <w:hideMark/>
          </w:tcPr>
          <w:p w14:paraId="50694F5A"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Jarque-Bera</w:t>
            </w:r>
          </w:p>
        </w:tc>
        <w:tc>
          <w:tcPr>
            <w:tcW w:w="0" w:type="auto"/>
            <w:hideMark/>
          </w:tcPr>
          <w:p w14:paraId="73161BD0"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4079,599</w:t>
            </w:r>
          </w:p>
        </w:tc>
        <w:tc>
          <w:tcPr>
            <w:tcW w:w="0" w:type="auto"/>
            <w:hideMark/>
          </w:tcPr>
          <w:p w14:paraId="3235FEE3"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11,58250</w:t>
            </w:r>
          </w:p>
        </w:tc>
        <w:tc>
          <w:tcPr>
            <w:tcW w:w="0" w:type="auto"/>
            <w:hideMark/>
          </w:tcPr>
          <w:p w14:paraId="5C801BE9"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406,4370</w:t>
            </w:r>
          </w:p>
        </w:tc>
        <w:tc>
          <w:tcPr>
            <w:tcW w:w="0" w:type="auto"/>
            <w:hideMark/>
          </w:tcPr>
          <w:p w14:paraId="39BBA47E"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6517,795</w:t>
            </w:r>
          </w:p>
        </w:tc>
      </w:tr>
      <w:tr w:rsidR="00485269" w:rsidRPr="00275C12" w14:paraId="21BCE020" w14:textId="77777777" w:rsidTr="00485269">
        <w:trPr>
          <w:jc w:val="center"/>
        </w:trPr>
        <w:tc>
          <w:tcPr>
            <w:tcW w:w="0" w:type="auto"/>
            <w:hideMark/>
          </w:tcPr>
          <w:p w14:paraId="63F1CA69"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Probability</w:t>
            </w:r>
          </w:p>
        </w:tc>
        <w:tc>
          <w:tcPr>
            <w:tcW w:w="0" w:type="auto"/>
            <w:hideMark/>
          </w:tcPr>
          <w:p w14:paraId="4DEF1B0D"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0,000000</w:t>
            </w:r>
          </w:p>
        </w:tc>
        <w:tc>
          <w:tcPr>
            <w:tcW w:w="0" w:type="auto"/>
            <w:hideMark/>
          </w:tcPr>
          <w:p w14:paraId="68ED93B1"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0,003054</w:t>
            </w:r>
          </w:p>
        </w:tc>
        <w:tc>
          <w:tcPr>
            <w:tcW w:w="0" w:type="auto"/>
            <w:hideMark/>
          </w:tcPr>
          <w:p w14:paraId="7D47E28F"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0,000000</w:t>
            </w:r>
          </w:p>
        </w:tc>
        <w:tc>
          <w:tcPr>
            <w:tcW w:w="0" w:type="auto"/>
            <w:hideMark/>
          </w:tcPr>
          <w:p w14:paraId="49CB926B"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0,000000</w:t>
            </w:r>
          </w:p>
        </w:tc>
      </w:tr>
      <w:tr w:rsidR="00485269" w:rsidRPr="00275C12" w14:paraId="3489EC12" w14:textId="77777777" w:rsidTr="00485269">
        <w:trPr>
          <w:jc w:val="center"/>
        </w:trPr>
        <w:tc>
          <w:tcPr>
            <w:tcW w:w="0" w:type="auto"/>
            <w:hideMark/>
          </w:tcPr>
          <w:p w14:paraId="65EEE984"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Sum</w:t>
            </w:r>
          </w:p>
        </w:tc>
        <w:tc>
          <w:tcPr>
            <w:tcW w:w="0" w:type="auto"/>
            <w:hideMark/>
          </w:tcPr>
          <w:p w14:paraId="19814825"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64,85877</w:t>
            </w:r>
          </w:p>
        </w:tc>
        <w:tc>
          <w:tcPr>
            <w:tcW w:w="0" w:type="auto"/>
            <w:hideMark/>
          </w:tcPr>
          <w:p w14:paraId="0FB96918"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1023,000</w:t>
            </w:r>
          </w:p>
        </w:tc>
        <w:tc>
          <w:tcPr>
            <w:tcW w:w="0" w:type="auto"/>
            <w:hideMark/>
          </w:tcPr>
          <w:p w14:paraId="5701734B"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312,1841</w:t>
            </w:r>
          </w:p>
        </w:tc>
        <w:tc>
          <w:tcPr>
            <w:tcW w:w="0" w:type="auto"/>
            <w:hideMark/>
          </w:tcPr>
          <w:p w14:paraId="6DB0D936"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6,693586</w:t>
            </w:r>
          </w:p>
        </w:tc>
      </w:tr>
      <w:tr w:rsidR="00485269" w:rsidRPr="00275C12" w14:paraId="386C49EF" w14:textId="77777777" w:rsidTr="00485269">
        <w:trPr>
          <w:jc w:val="center"/>
        </w:trPr>
        <w:tc>
          <w:tcPr>
            <w:tcW w:w="0" w:type="auto"/>
            <w:hideMark/>
          </w:tcPr>
          <w:p w14:paraId="2A324755"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Sum Sq. Dev.</w:t>
            </w:r>
          </w:p>
        </w:tc>
        <w:tc>
          <w:tcPr>
            <w:tcW w:w="0" w:type="auto"/>
            <w:hideMark/>
          </w:tcPr>
          <w:p w14:paraId="65E744B8"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605,4233</w:t>
            </w:r>
          </w:p>
        </w:tc>
        <w:tc>
          <w:tcPr>
            <w:tcW w:w="0" w:type="auto"/>
            <w:hideMark/>
          </w:tcPr>
          <w:p w14:paraId="74443390"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3634,912</w:t>
            </w:r>
          </w:p>
        </w:tc>
        <w:tc>
          <w:tcPr>
            <w:tcW w:w="0" w:type="auto"/>
            <w:hideMark/>
          </w:tcPr>
          <w:p w14:paraId="777B0AA7"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492,1134</w:t>
            </w:r>
          </w:p>
        </w:tc>
        <w:tc>
          <w:tcPr>
            <w:tcW w:w="0" w:type="auto"/>
            <w:hideMark/>
          </w:tcPr>
          <w:p w14:paraId="4654A5E0"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37,49129</w:t>
            </w:r>
          </w:p>
        </w:tc>
      </w:tr>
      <w:tr w:rsidR="00485269" w:rsidRPr="00275C12" w14:paraId="262093EE" w14:textId="77777777" w:rsidTr="00485269">
        <w:trPr>
          <w:jc w:val="center"/>
        </w:trPr>
        <w:tc>
          <w:tcPr>
            <w:tcW w:w="0" w:type="auto"/>
            <w:hideMark/>
          </w:tcPr>
          <w:p w14:paraId="2D5D1B36" w14:textId="77777777" w:rsidR="00485269" w:rsidRPr="00275C12" w:rsidRDefault="00485269" w:rsidP="00485269">
            <w:pPr>
              <w:spacing w:after="160" w:line="259" w:lineRule="auto"/>
              <w:ind w:left="0" w:firstLine="0"/>
              <w:rPr>
                <w:rFonts w:ascii="Nirmala UI Semilight" w:hAnsi="Nirmala UI Semilight" w:cs="Nirmala UI Semilight"/>
              </w:rPr>
            </w:pPr>
            <w:r w:rsidRPr="00275C12">
              <w:rPr>
                <w:rFonts w:ascii="Nirmala UI Semilight" w:hAnsi="Nirmala UI Semilight" w:cs="Nirmala UI Semilight"/>
              </w:rPr>
              <w:t>Observation</w:t>
            </w:r>
          </w:p>
        </w:tc>
        <w:tc>
          <w:tcPr>
            <w:tcW w:w="0" w:type="auto"/>
            <w:hideMark/>
          </w:tcPr>
          <w:p w14:paraId="67E9A1BC"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102</w:t>
            </w:r>
          </w:p>
        </w:tc>
        <w:tc>
          <w:tcPr>
            <w:tcW w:w="0" w:type="auto"/>
            <w:hideMark/>
          </w:tcPr>
          <w:p w14:paraId="08EE8F34"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102</w:t>
            </w:r>
          </w:p>
        </w:tc>
        <w:tc>
          <w:tcPr>
            <w:tcW w:w="0" w:type="auto"/>
            <w:hideMark/>
          </w:tcPr>
          <w:p w14:paraId="42F87291"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102</w:t>
            </w:r>
          </w:p>
        </w:tc>
        <w:tc>
          <w:tcPr>
            <w:tcW w:w="0" w:type="auto"/>
            <w:hideMark/>
          </w:tcPr>
          <w:p w14:paraId="504FF2C0" w14:textId="77777777" w:rsidR="00485269" w:rsidRPr="00275C12" w:rsidRDefault="00485269" w:rsidP="00485269">
            <w:pPr>
              <w:spacing w:after="160" w:line="259" w:lineRule="auto"/>
              <w:ind w:left="0" w:firstLine="0"/>
              <w:jc w:val="right"/>
              <w:rPr>
                <w:rFonts w:ascii="Nirmala UI Semilight" w:hAnsi="Nirmala UI Semilight" w:cs="Nirmala UI Semilight"/>
              </w:rPr>
            </w:pPr>
            <w:r w:rsidRPr="00275C12">
              <w:rPr>
                <w:rFonts w:ascii="Nirmala UI Semilight" w:hAnsi="Nirmala UI Semilight" w:cs="Nirmala UI Semilight"/>
              </w:rPr>
              <w:t>102</w:t>
            </w:r>
          </w:p>
        </w:tc>
      </w:tr>
    </w:tbl>
    <w:p w14:paraId="5F9B009C" w14:textId="58735782" w:rsidR="00485269" w:rsidRPr="00275C12" w:rsidRDefault="002B25BE" w:rsidP="00485269">
      <w:pPr>
        <w:tabs>
          <w:tab w:val="left" w:pos="284"/>
        </w:tabs>
        <w:spacing w:after="120" w:line="240" w:lineRule="auto"/>
        <w:ind w:left="284"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Source: </w:t>
      </w:r>
      <w:r w:rsidR="00485269" w:rsidRPr="00275C12">
        <w:rPr>
          <w:rFonts w:ascii="Nirmala UI Semilight" w:eastAsia="Times New Roman" w:hAnsi="Nirmala UI Semilight" w:cs="Nirmala UI Semilight"/>
          <w:color w:val="000000"/>
        </w:rPr>
        <w:t>Eviews 12 Output, Secondary Data Processed by Researchers (2024)</w:t>
      </w:r>
    </w:p>
    <w:p w14:paraId="45AF486A" w14:textId="77777777" w:rsidR="00485269" w:rsidRPr="00275C12" w:rsidRDefault="00485269" w:rsidP="00485269">
      <w:pPr>
        <w:tabs>
          <w:tab w:val="left" w:pos="284"/>
        </w:tabs>
        <w:spacing w:after="120" w:line="240" w:lineRule="auto"/>
        <w:ind w:left="284" w:firstLine="0"/>
        <w:rPr>
          <w:rFonts w:ascii="Nirmala UI Semilight" w:eastAsia="Times New Roman" w:hAnsi="Nirmala UI Semilight" w:cs="Nirmala UI Semilight"/>
          <w:color w:val="000000"/>
        </w:rPr>
      </w:pPr>
    </w:p>
    <w:p w14:paraId="15F983FB" w14:textId="1F0979DA" w:rsidR="002B25BE" w:rsidRPr="00275C12" w:rsidRDefault="00485269"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Panel Data Regression Model</w:t>
      </w:r>
    </w:p>
    <w:p w14:paraId="539E1348" w14:textId="77777777" w:rsidR="00485269" w:rsidRPr="00275C12" w:rsidRDefault="002B25BE" w:rsidP="00485269">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bookmarkStart w:id="3" w:name="_Hlk209965908"/>
      <w:r w:rsidR="00485269" w:rsidRPr="00275C12">
        <w:rPr>
          <w:rFonts w:ascii="Nirmala UI Semilight" w:eastAsia="Times New Roman" w:hAnsi="Nirmala UI Semilight" w:cs="Nirmala UI Semilight"/>
          <w:color w:val="000000"/>
        </w:rPr>
        <w:t>Panel data is a combination of time series data and cross section data (Basuki &amp; Prawoto, 2016: 275). The cross section data in this study are non-cyclical consumer sector companies listed on the Indonesia Stock Exchange with a selected sample of 34 companies. Then, the time series data in the study is a time period with a span of three years from 2020-2022.</w:t>
      </w:r>
    </w:p>
    <w:p w14:paraId="08987F3C" w14:textId="725692B6" w:rsidR="002B25BE" w:rsidRPr="00275C12" w:rsidRDefault="00485269" w:rsidP="00485269">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The panel data estimation method can use three model approach techniques, namely the Common Effect Model (CEM), Fixed Effect Model (FEM), and Random Effect Model (REM). After the three approaches are carried out, three testing models will be carried out to select the most efficient panel data regression model from three equation models, namely the Common Effect Model (CEM), Fixed Effect Model (FEM), and Random Effect Model (REM) through the chow test, hausman test, and lagrange multiplier test.</w:t>
      </w:r>
    </w:p>
    <w:bookmarkEnd w:id="3"/>
    <w:p w14:paraId="03ACF158" w14:textId="77777777" w:rsidR="002B25BE" w:rsidRPr="00275C12"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DFB8CE8" w14:textId="269DE9A7" w:rsidR="00485269" w:rsidRPr="00275C12" w:rsidRDefault="00485269" w:rsidP="002B25BE">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Common Effect Model (CEM)</w:t>
      </w:r>
    </w:p>
    <w:p w14:paraId="2B4852A7" w14:textId="5599483A" w:rsidR="00485269" w:rsidRPr="00275C12" w:rsidRDefault="00485269"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 xml:space="preserve">In the common effect model, it is assumed that there are no differences in intercept and slope values in the regression results either on the basis of differences between individuals or between times. This method uses the Ordinary Least Square (OLS) approach. The panel data regression results with the Common Effect Model are presented in </w:t>
      </w:r>
      <w:r w:rsidR="001C18C0" w:rsidRPr="00275C12">
        <w:rPr>
          <w:rFonts w:ascii="Nirmala UI Semilight" w:eastAsia="Times New Roman" w:hAnsi="Nirmala UI Semilight" w:cs="Nirmala UI Semilight"/>
          <w:color w:val="000000"/>
        </w:rPr>
        <w:t xml:space="preserve">Table 3 and Table 4 </w:t>
      </w:r>
      <w:r w:rsidRPr="00275C12">
        <w:rPr>
          <w:rFonts w:ascii="Nirmala UI Semilight" w:eastAsia="Times New Roman" w:hAnsi="Nirmala UI Semilight" w:cs="Nirmala UI Semilight"/>
          <w:color w:val="000000"/>
        </w:rPr>
        <w:t>below:</w:t>
      </w:r>
    </w:p>
    <w:p w14:paraId="14E61222" w14:textId="77777777" w:rsidR="00485269" w:rsidRPr="00275C12" w:rsidRDefault="00485269"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3323F34" w14:textId="77777777" w:rsidR="00EC4B7C" w:rsidRPr="00275C12" w:rsidRDefault="00EC4B7C"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0300914" w14:textId="77777777" w:rsidR="00EC4B7C" w:rsidRPr="00275C12" w:rsidRDefault="00EC4B7C"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01DA0AF" w14:textId="46ADFE4B" w:rsidR="002B25BE" w:rsidRPr="00275C12"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lastRenderedPageBreak/>
        <w:t xml:space="preserve">Table </w:t>
      </w:r>
      <w:r w:rsidR="00485269" w:rsidRPr="00275C12">
        <w:rPr>
          <w:rFonts w:ascii="Nirmala UI Semilight" w:eastAsia="Times New Roman" w:hAnsi="Nirmala UI Semilight" w:cs="Nirmala UI Semilight"/>
          <w:color w:val="000000"/>
        </w:rPr>
        <w:t>3</w:t>
      </w:r>
      <w:r w:rsidRPr="00275C12">
        <w:rPr>
          <w:rFonts w:ascii="Nirmala UI Semilight" w:eastAsia="Times New Roman" w:hAnsi="Nirmala UI Semilight" w:cs="Nirmala UI Semilight"/>
          <w:color w:val="000000"/>
        </w:rPr>
        <w:t xml:space="preserve">. </w:t>
      </w:r>
      <w:r w:rsidR="00485269" w:rsidRPr="00275C12">
        <w:rPr>
          <w:rFonts w:ascii="Nirmala UI Semilight" w:eastAsia="Times New Roman" w:hAnsi="Nirmala UI Semilight" w:cs="Nirmala UI Semilight"/>
          <w:color w:val="000000"/>
        </w:rPr>
        <w:t>Common Effect Model Test Results</w:t>
      </w:r>
    </w:p>
    <w:tbl>
      <w:tblPr>
        <w:tblStyle w:val="TableGrid"/>
        <w:tblW w:w="0" w:type="auto"/>
        <w:jc w:val="center"/>
        <w:tblLook w:val="04A0" w:firstRow="1" w:lastRow="0" w:firstColumn="1" w:lastColumn="0" w:noHBand="0" w:noVBand="1"/>
      </w:tblPr>
      <w:tblGrid>
        <w:gridCol w:w="2263"/>
        <w:gridCol w:w="1560"/>
        <w:gridCol w:w="1701"/>
        <w:gridCol w:w="1701"/>
        <w:gridCol w:w="1552"/>
      </w:tblGrid>
      <w:tr w:rsidR="001C18C0" w:rsidRPr="00275C12" w14:paraId="5AB011BC" w14:textId="77777777" w:rsidTr="001C18C0">
        <w:trPr>
          <w:jc w:val="center"/>
        </w:trPr>
        <w:tc>
          <w:tcPr>
            <w:tcW w:w="2263" w:type="dxa"/>
            <w:hideMark/>
          </w:tcPr>
          <w:p w14:paraId="1C01524C" w14:textId="77777777" w:rsidR="00485269" w:rsidRPr="00275C12" w:rsidRDefault="00485269" w:rsidP="00485269">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Variable</w:t>
            </w:r>
          </w:p>
        </w:tc>
        <w:tc>
          <w:tcPr>
            <w:tcW w:w="1560" w:type="dxa"/>
            <w:hideMark/>
          </w:tcPr>
          <w:p w14:paraId="79BEF949" w14:textId="77777777" w:rsidR="00485269" w:rsidRPr="00275C12" w:rsidRDefault="00485269" w:rsidP="00485269">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Coefficient</w:t>
            </w:r>
          </w:p>
        </w:tc>
        <w:tc>
          <w:tcPr>
            <w:tcW w:w="1701" w:type="dxa"/>
            <w:hideMark/>
          </w:tcPr>
          <w:p w14:paraId="2E6E50E5" w14:textId="77777777" w:rsidR="00485269" w:rsidRPr="00275C12" w:rsidRDefault="00485269" w:rsidP="00485269">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Std. Error</w:t>
            </w:r>
          </w:p>
        </w:tc>
        <w:tc>
          <w:tcPr>
            <w:tcW w:w="1701" w:type="dxa"/>
            <w:hideMark/>
          </w:tcPr>
          <w:p w14:paraId="59221FE8" w14:textId="77777777" w:rsidR="00485269" w:rsidRPr="00275C12" w:rsidRDefault="00485269" w:rsidP="00485269">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t-statistic</w:t>
            </w:r>
          </w:p>
        </w:tc>
        <w:tc>
          <w:tcPr>
            <w:tcW w:w="1552" w:type="dxa"/>
            <w:hideMark/>
          </w:tcPr>
          <w:p w14:paraId="0D2EE266" w14:textId="77777777" w:rsidR="00485269" w:rsidRPr="00275C12" w:rsidRDefault="00485269" w:rsidP="00485269">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Probability</w:t>
            </w:r>
          </w:p>
        </w:tc>
      </w:tr>
      <w:tr w:rsidR="001C18C0" w:rsidRPr="00275C12" w14:paraId="68CBB1A4" w14:textId="77777777" w:rsidTr="001C18C0">
        <w:trPr>
          <w:jc w:val="center"/>
        </w:trPr>
        <w:tc>
          <w:tcPr>
            <w:tcW w:w="2263" w:type="dxa"/>
            <w:hideMark/>
          </w:tcPr>
          <w:p w14:paraId="2FA5395B" w14:textId="77777777" w:rsidR="00485269" w:rsidRPr="00275C12" w:rsidRDefault="00485269" w:rsidP="00485269">
            <w:pPr>
              <w:spacing w:after="160" w:line="259" w:lineRule="auto"/>
              <w:ind w:left="30" w:firstLine="0"/>
              <w:rPr>
                <w:rFonts w:ascii="Nirmala UI Semilight" w:hAnsi="Nirmala UI Semilight" w:cs="Nirmala UI Semilight"/>
              </w:rPr>
            </w:pPr>
            <w:r w:rsidRPr="00275C12">
              <w:rPr>
                <w:rFonts w:ascii="Nirmala UI Semilight" w:hAnsi="Nirmala UI Semilight" w:cs="Nirmala UI Semilight"/>
              </w:rPr>
              <w:t>C</w:t>
            </w:r>
          </w:p>
        </w:tc>
        <w:tc>
          <w:tcPr>
            <w:tcW w:w="1560" w:type="dxa"/>
            <w:hideMark/>
          </w:tcPr>
          <w:p w14:paraId="70962CA6"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0,474502</w:t>
            </w:r>
          </w:p>
        </w:tc>
        <w:tc>
          <w:tcPr>
            <w:tcW w:w="1701" w:type="dxa"/>
            <w:hideMark/>
          </w:tcPr>
          <w:p w14:paraId="4C3BDF47"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0,560775</w:t>
            </w:r>
          </w:p>
        </w:tc>
        <w:tc>
          <w:tcPr>
            <w:tcW w:w="1701" w:type="dxa"/>
            <w:hideMark/>
          </w:tcPr>
          <w:p w14:paraId="2FF1941D"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0,846154</w:t>
            </w:r>
          </w:p>
        </w:tc>
        <w:tc>
          <w:tcPr>
            <w:tcW w:w="1552" w:type="dxa"/>
            <w:hideMark/>
          </w:tcPr>
          <w:p w14:paraId="61CBF6E6"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0,3995</w:t>
            </w:r>
          </w:p>
        </w:tc>
      </w:tr>
      <w:tr w:rsidR="001C18C0" w:rsidRPr="00275C12" w14:paraId="6E20BDBE" w14:textId="77777777" w:rsidTr="001C18C0">
        <w:trPr>
          <w:jc w:val="center"/>
        </w:trPr>
        <w:tc>
          <w:tcPr>
            <w:tcW w:w="2263" w:type="dxa"/>
            <w:hideMark/>
          </w:tcPr>
          <w:p w14:paraId="696AC37B" w14:textId="77777777" w:rsidR="00485269" w:rsidRPr="00275C12" w:rsidRDefault="00485269" w:rsidP="00485269">
            <w:pPr>
              <w:spacing w:after="160" w:line="259" w:lineRule="auto"/>
              <w:ind w:left="30" w:firstLine="0"/>
              <w:rPr>
                <w:rFonts w:ascii="Nirmala UI Semilight" w:hAnsi="Nirmala UI Semilight" w:cs="Nirmala UI Semilight"/>
              </w:rPr>
            </w:pPr>
            <w:r w:rsidRPr="00275C12">
              <w:rPr>
                <w:rFonts w:ascii="Nirmala UI Semilight" w:hAnsi="Nirmala UI Semilight" w:cs="Nirmala UI Semilight"/>
              </w:rPr>
              <w:t>CEO Tenure</w:t>
            </w:r>
          </w:p>
        </w:tc>
        <w:tc>
          <w:tcPr>
            <w:tcW w:w="1560" w:type="dxa"/>
            <w:hideMark/>
          </w:tcPr>
          <w:p w14:paraId="3FDA3CE5"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-0,023805</w:t>
            </w:r>
          </w:p>
        </w:tc>
        <w:tc>
          <w:tcPr>
            <w:tcW w:w="1701" w:type="dxa"/>
            <w:hideMark/>
          </w:tcPr>
          <w:p w14:paraId="325EF6A8"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0,038754</w:t>
            </w:r>
          </w:p>
        </w:tc>
        <w:tc>
          <w:tcPr>
            <w:tcW w:w="1701" w:type="dxa"/>
            <w:hideMark/>
          </w:tcPr>
          <w:p w14:paraId="0029603B"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-0,614260</w:t>
            </w:r>
          </w:p>
        </w:tc>
        <w:tc>
          <w:tcPr>
            <w:tcW w:w="1552" w:type="dxa"/>
            <w:hideMark/>
          </w:tcPr>
          <w:p w14:paraId="4E5D58B4"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0,5405</w:t>
            </w:r>
          </w:p>
        </w:tc>
      </w:tr>
      <w:tr w:rsidR="001C18C0" w:rsidRPr="00275C12" w14:paraId="7E76E241" w14:textId="77777777" w:rsidTr="001C18C0">
        <w:trPr>
          <w:jc w:val="center"/>
        </w:trPr>
        <w:tc>
          <w:tcPr>
            <w:tcW w:w="2263" w:type="dxa"/>
            <w:hideMark/>
          </w:tcPr>
          <w:p w14:paraId="791C0DC4" w14:textId="77777777" w:rsidR="00485269" w:rsidRPr="00275C12" w:rsidRDefault="00485269" w:rsidP="00485269">
            <w:pPr>
              <w:spacing w:after="160" w:line="259" w:lineRule="auto"/>
              <w:ind w:left="30" w:firstLine="0"/>
              <w:rPr>
                <w:rFonts w:ascii="Nirmala UI Semilight" w:hAnsi="Nirmala UI Semilight" w:cs="Nirmala UI Semilight"/>
              </w:rPr>
            </w:pPr>
            <w:r w:rsidRPr="00275C12">
              <w:rPr>
                <w:rFonts w:ascii="Nirmala UI Semilight" w:hAnsi="Nirmala UI Semilight" w:cs="Nirmala UI Semilight"/>
              </w:rPr>
              <w:t>Financial Distress</w:t>
            </w:r>
          </w:p>
        </w:tc>
        <w:tc>
          <w:tcPr>
            <w:tcW w:w="1560" w:type="dxa"/>
            <w:hideMark/>
          </w:tcPr>
          <w:p w14:paraId="44492033"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0,156614</w:t>
            </w:r>
          </w:p>
        </w:tc>
        <w:tc>
          <w:tcPr>
            <w:tcW w:w="1701" w:type="dxa"/>
            <w:hideMark/>
          </w:tcPr>
          <w:p w14:paraId="44651214"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0,105308</w:t>
            </w:r>
          </w:p>
        </w:tc>
        <w:tc>
          <w:tcPr>
            <w:tcW w:w="1701" w:type="dxa"/>
            <w:hideMark/>
          </w:tcPr>
          <w:p w14:paraId="74736307"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1,487201</w:t>
            </w:r>
          </w:p>
        </w:tc>
        <w:tc>
          <w:tcPr>
            <w:tcW w:w="1552" w:type="dxa"/>
            <w:hideMark/>
          </w:tcPr>
          <w:p w14:paraId="09AAF49D"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0,1402</w:t>
            </w:r>
          </w:p>
        </w:tc>
      </w:tr>
      <w:tr w:rsidR="001C18C0" w:rsidRPr="00275C12" w14:paraId="7EE28E8A" w14:textId="77777777" w:rsidTr="001C18C0">
        <w:trPr>
          <w:jc w:val="center"/>
        </w:trPr>
        <w:tc>
          <w:tcPr>
            <w:tcW w:w="2263" w:type="dxa"/>
            <w:hideMark/>
          </w:tcPr>
          <w:p w14:paraId="31D2D2CC" w14:textId="77777777" w:rsidR="00485269" w:rsidRPr="00275C12" w:rsidRDefault="00485269" w:rsidP="00485269">
            <w:pPr>
              <w:spacing w:after="160" w:line="259" w:lineRule="auto"/>
              <w:ind w:left="30" w:firstLine="0"/>
              <w:rPr>
                <w:rFonts w:ascii="Nirmala UI Semilight" w:hAnsi="Nirmala UI Semilight" w:cs="Nirmala UI Semilight"/>
              </w:rPr>
            </w:pPr>
            <w:r w:rsidRPr="00275C12">
              <w:rPr>
                <w:rFonts w:ascii="Nirmala UI Semilight" w:hAnsi="Nirmala UI Semilight" w:cs="Nirmala UI Semilight"/>
              </w:rPr>
              <w:t>Sales Growth</w:t>
            </w:r>
          </w:p>
        </w:tc>
        <w:tc>
          <w:tcPr>
            <w:tcW w:w="1560" w:type="dxa"/>
            <w:hideMark/>
          </w:tcPr>
          <w:p w14:paraId="7FEDA742"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-1,207198</w:t>
            </w:r>
          </w:p>
        </w:tc>
        <w:tc>
          <w:tcPr>
            <w:tcW w:w="1701" w:type="dxa"/>
            <w:hideMark/>
          </w:tcPr>
          <w:p w14:paraId="5B36964C"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0,381675</w:t>
            </w:r>
          </w:p>
        </w:tc>
        <w:tc>
          <w:tcPr>
            <w:tcW w:w="1701" w:type="dxa"/>
            <w:hideMark/>
          </w:tcPr>
          <w:p w14:paraId="5830BD3F"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-3,162897</w:t>
            </w:r>
          </w:p>
        </w:tc>
        <w:tc>
          <w:tcPr>
            <w:tcW w:w="1552" w:type="dxa"/>
            <w:hideMark/>
          </w:tcPr>
          <w:p w14:paraId="60D8F958" w14:textId="77777777" w:rsidR="00485269" w:rsidRPr="00275C12" w:rsidRDefault="00485269" w:rsidP="00485269">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0,0021</w:t>
            </w:r>
          </w:p>
        </w:tc>
      </w:tr>
    </w:tbl>
    <w:p w14:paraId="65F80F43" w14:textId="1CA0D28F" w:rsidR="001C18C0" w:rsidRPr="00275C12" w:rsidRDefault="001C18C0" w:rsidP="001C18C0">
      <w:pPr>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75BFF6A4" w14:textId="77777777" w:rsidR="00485269" w:rsidRPr="00275C12" w:rsidRDefault="00485269" w:rsidP="001C18C0">
      <w:pPr>
        <w:tabs>
          <w:tab w:val="left" w:pos="284"/>
        </w:tabs>
        <w:spacing w:after="120" w:line="240" w:lineRule="auto"/>
        <w:ind w:left="0" w:firstLine="0"/>
        <w:rPr>
          <w:rFonts w:ascii="Nirmala UI Semilight" w:eastAsia="Times New Roman" w:hAnsi="Nirmala UI Semilight" w:cs="Nirmala UI Semilight"/>
          <w:color w:val="000000"/>
        </w:rPr>
      </w:pPr>
    </w:p>
    <w:p w14:paraId="2AD1667D" w14:textId="2C192623" w:rsidR="001C18C0" w:rsidRPr="00275C12" w:rsidRDefault="001C18C0" w:rsidP="001C18C0">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Table 4. Common Effect Model Test Statistics</w:t>
      </w:r>
    </w:p>
    <w:tbl>
      <w:tblPr>
        <w:tblStyle w:val="TableGrid"/>
        <w:tblW w:w="0" w:type="auto"/>
        <w:tblLook w:val="04A0" w:firstRow="1" w:lastRow="0" w:firstColumn="1" w:lastColumn="0" w:noHBand="0" w:noVBand="1"/>
      </w:tblPr>
      <w:tblGrid>
        <w:gridCol w:w="2263"/>
        <w:gridCol w:w="1560"/>
        <w:gridCol w:w="3118"/>
        <w:gridCol w:w="1836"/>
      </w:tblGrid>
      <w:tr w:rsidR="001C18C0" w:rsidRPr="00275C12" w14:paraId="29D1424B" w14:textId="77777777" w:rsidTr="001C18C0">
        <w:tc>
          <w:tcPr>
            <w:tcW w:w="2263" w:type="dxa"/>
          </w:tcPr>
          <w:p w14:paraId="4CF93DA6" w14:textId="4A37EA60"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R-squared</w:t>
            </w:r>
          </w:p>
        </w:tc>
        <w:tc>
          <w:tcPr>
            <w:tcW w:w="1560" w:type="dxa"/>
          </w:tcPr>
          <w:p w14:paraId="10BEDCDA" w14:textId="5E275497"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0,117962</w:t>
            </w:r>
          </w:p>
        </w:tc>
        <w:tc>
          <w:tcPr>
            <w:tcW w:w="3118" w:type="dxa"/>
          </w:tcPr>
          <w:p w14:paraId="052B5EFB" w14:textId="151CCF4C"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Durbin-Watson stat</w:t>
            </w:r>
          </w:p>
        </w:tc>
        <w:tc>
          <w:tcPr>
            <w:tcW w:w="1836" w:type="dxa"/>
          </w:tcPr>
          <w:p w14:paraId="6BE7771B" w14:textId="0D495A93"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1,570409</w:t>
            </w:r>
          </w:p>
        </w:tc>
      </w:tr>
      <w:tr w:rsidR="001C18C0" w:rsidRPr="00275C12" w14:paraId="7A206FAD" w14:textId="77777777" w:rsidTr="001C18C0">
        <w:tc>
          <w:tcPr>
            <w:tcW w:w="2263" w:type="dxa"/>
          </w:tcPr>
          <w:p w14:paraId="5BE8F7E8" w14:textId="25E51E64"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Adjusted R-squared</w:t>
            </w:r>
          </w:p>
        </w:tc>
        <w:tc>
          <w:tcPr>
            <w:tcW w:w="1560" w:type="dxa"/>
          </w:tcPr>
          <w:p w14:paraId="137B761F" w14:textId="61CBADA1"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0,090961</w:t>
            </w:r>
          </w:p>
        </w:tc>
        <w:tc>
          <w:tcPr>
            <w:tcW w:w="3118" w:type="dxa"/>
          </w:tcPr>
          <w:p w14:paraId="026F39E3" w14:textId="52246336"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Mean dependent var</w:t>
            </w:r>
          </w:p>
        </w:tc>
        <w:tc>
          <w:tcPr>
            <w:tcW w:w="1836" w:type="dxa"/>
          </w:tcPr>
          <w:p w14:paraId="000C7CE8" w14:textId="58FEF618"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0,635870</w:t>
            </w:r>
          </w:p>
        </w:tc>
      </w:tr>
      <w:tr w:rsidR="001C18C0" w:rsidRPr="00275C12" w14:paraId="4735BD86" w14:textId="77777777" w:rsidTr="001C18C0">
        <w:tc>
          <w:tcPr>
            <w:tcW w:w="2263" w:type="dxa"/>
          </w:tcPr>
          <w:p w14:paraId="496934CE" w14:textId="5DD0E861"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S.E. of regression</w:t>
            </w:r>
          </w:p>
        </w:tc>
        <w:tc>
          <w:tcPr>
            <w:tcW w:w="1560" w:type="dxa"/>
          </w:tcPr>
          <w:p w14:paraId="641BA092" w14:textId="326FCAD9"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2,334319</w:t>
            </w:r>
          </w:p>
        </w:tc>
        <w:tc>
          <w:tcPr>
            <w:tcW w:w="3118" w:type="dxa"/>
          </w:tcPr>
          <w:p w14:paraId="12EBE3CC" w14:textId="4833CAA3"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S.D. of dependent var</w:t>
            </w:r>
          </w:p>
        </w:tc>
        <w:tc>
          <w:tcPr>
            <w:tcW w:w="1836" w:type="dxa"/>
          </w:tcPr>
          <w:p w14:paraId="7E8ECC04" w14:textId="05F1B9D7"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2,448324</w:t>
            </w:r>
          </w:p>
        </w:tc>
      </w:tr>
      <w:tr w:rsidR="001C18C0" w:rsidRPr="00275C12" w14:paraId="6A2DA65D" w14:textId="77777777" w:rsidTr="001C18C0">
        <w:tc>
          <w:tcPr>
            <w:tcW w:w="2263" w:type="dxa"/>
          </w:tcPr>
          <w:p w14:paraId="73B4921F" w14:textId="05C5B91B"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Sum squared resid</w:t>
            </w:r>
          </w:p>
        </w:tc>
        <w:tc>
          <w:tcPr>
            <w:tcW w:w="1560" w:type="dxa"/>
          </w:tcPr>
          <w:p w14:paraId="7156A44C" w14:textId="0D5B0539"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534,0065</w:t>
            </w:r>
          </w:p>
        </w:tc>
        <w:tc>
          <w:tcPr>
            <w:tcW w:w="3118" w:type="dxa"/>
          </w:tcPr>
          <w:p w14:paraId="23E9ED53" w14:textId="257332CA"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Akaike info criterion</w:t>
            </w:r>
          </w:p>
        </w:tc>
        <w:tc>
          <w:tcPr>
            <w:tcW w:w="1836" w:type="dxa"/>
          </w:tcPr>
          <w:p w14:paraId="60424A6A" w14:textId="4F704660"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4,571744</w:t>
            </w:r>
          </w:p>
        </w:tc>
      </w:tr>
      <w:tr w:rsidR="001C18C0" w:rsidRPr="00275C12" w14:paraId="261CE064" w14:textId="77777777" w:rsidTr="001C18C0">
        <w:tc>
          <w:tcPr>
            <w:tcW w:w="2263" w:type="dxa"/>
          </w:tcPr>
          <w:p w14:paraId="7454202A" w14:textId="77E408F6"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Log likelihood</w:t>
            </w:r>
          </w:p>
        </w:tc>
        <w:tc>
          <w:tcPr>
            <w:tcW w:w="1560" w:type="dxa"/>
          </w:tcPr>
          <w:p w14:paraId="5A62D80D" w14:textId="0238BA7C"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-229,1589</w:t>
            </w:r>
          </w:p>
        </w:tc>
        <w:tc>
          <w:tcPr>
            <w:tcW w:w="3118" w:type="dxa"/>
          </w:tcPr>
          <w:p w14:paraId="1D076109" w14:textId="2148A64C"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Schwarz criterion</w:t>
            </w:r>
          </w:p>
        </w:tc>
        <w:tc>
          <w:tcPr>
            <w:tcW w:w="1836" w:type="dxa"/>
          </w:tcPr>
          <w:p w14:paraId="3F2268D7" w14:textId="7B2067C7"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4,674684</w:t>
            </w:r>
          </w:p>
        </w:tc>
      </w:tr>
      <w:tr w:rsidR="001C18C0" w:rsidRPr="00275C12" w14:paraId="3CFBABBD" w14:textId="77777777" w:rsidTr="001C18C0">
        <w:tc>
          <w:tcPr>
            <w:tcW w:w="2263" w:type="dxa"/>
          </w:tcPr>
          <w:p w14:paraId="3CD91F77" w14:textId="5556D6ED"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F-statistic</w:t>
            </w:r>
          </w:p>
        </w:tc>
        <w:tc>
          <w:tcPr>
            <w:tcW w:w="1560" w:type="dxa"/>
          </w:tcPr>
          <w:p w14:paraId="7098E87A" w14:textId="7F801E8F"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4,368765</w:t>
            </w:r>
          </w:p>
        </w:tc>
        <w:tc>
          <w:tcPr>
            <w:tcW w:w="3118" w:type="dxa"/>
          </w:tcPr>
          <w:p w14:paraId="351B7EC4" w14:textId="253A4A03"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Hannan-Quinn criterion</w:t>
            </w:r>
          </w:p>
        </w:tc>
        <w:tc>
          <w:tcPr>
            <w:tcW w:w="1836" w:type="dxa"/>
          </w:tcPr>
          <w:p w14:paraId="7ADAF526" w14:textId="48360D5C"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4,613428</w:t>
            </w:r>
          </w:p>
        </w:tc>
      </w:tr>
      <w:tr w:rsidR="001C18C0" w:rsidRPr="00275C12" w14:paraId="42C51F44" w14:textId="77777777" w:rsidTr="001C18C0">
        <w:tc>
          <w:tcPr>
            <w:tcW w:w="2263" w:type="dxa"/>
          </w:tcPr>
          <w:p w14:paraId="79F18DC9" w14:textId="71214A55"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Prob(F-statistic)</w:t>
            </w:r>
          </w:p>
        </w:tc>
        <w:tc>
          <w:tcPr>
            <w:tcW w:w="1560" w:type="dxa"/>
          </w:tcPr>
          <w:p w14:paraId="42D949B0" w14:textId="252D9EC9"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0,006238</w:t>
            </w:r>
          </w:p>
        </w:tc>
        <w:tc>
          <w:tcPr>
            <w:tcW w:w="3118" w:type="dxa"/>
          </w:tcPr>
          <w:p w14:paraId="24ECAD8C" w14:textId="77777777" w:rsidR="001C18C0" w:rsidRPr="00275C12" w:rsidRDefault="001C18C0" w:rsidP="001C18C0">
            <w:pPr>
              <w:tabs>
                <w:tab w:val="left" w:pos="284"/>
              </w:tabs>
              <w:spacing w:after="120"/>
              <w:ind w:left="0" w:firstLine="0"/>
              <w:rPr>
                <w:rFonts w:ascii="Nirmala UI Semilight" w:eastAsia="Times New Roman" w:hAnsi="Nirmala UI Semilight" w:cs="Nirmala UI Semilight"/>
                <w:color w:val="000000"/>
              </w:rPr>
            </w:pPr>
          </w:p>
        </w:tc>
        <w:tc>
          <w:tcPr>
            <w:tcW w:w="1836" w:type="dxa"/>
          </w:tcPr>
          <w:p w14:paraId="26CA87B6" w14:textId="77777777" w:rsidR="001C18C0" w:rsidRPr="00275C12" w:rsidRDefault="001C18C0" w:rsidP="001C18C0">
            <w:pPr>
              <w:tabs>
                <w:tab w:val="left" w:pos="284"/>
              </w:tabs>
              <w:spacing w:after="120"/>
              <w:ind w:left="0" w:firstLine="0"/>
              <w:jc w:val="right"/>
              <w:rPr>
                <w:rFonts w:ascii="Nirmala UI Semilight" w:eastAsia="Times New Roman" w:hAnsi="Nirmala UI Semilight" w:cs="Nirmala UI Semilight"/>
                <w:color w:val="000000"/>
              </w:rPr>
            </w:pPr>
          </w:p>
        </w:tc>
      </w:tr>
    </w:tbl>
    <w:p w14:paraId="6B3F2030" w14:textId="77777777" w:rsidR="001C18C0" w:rsidRPr="00275C12" w:rsidRDefault="001C18C0" w:rsidP="001C18C0">
      <w:pPr>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51C162A5" w14:textId="77777777" w:rsidR="002B25BE" w:rsidRPr="00275C12"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70D9D44" w14:textId="495EE44B" w:rsidR="001C18C0" w:rsidRPr="00275C12" w:rsidRDefault="001C18C0">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Based on the regression results using the Common Effect Model (CEM), the constant value is 0.474502 with a probability of 0.006238. The regression equation at the Adjusted R2 value of 0.090961 explains that the variation in the value of tax avoidance is influenced by CEO tenure, financial distress, and sales growth by 9.0961% and the remaining 90.9039% is influenced by other factors not examined in this study.</w:t>
      </w:r>
    </w:p>
    <w:p w14:paraId="0676ECFF" w14:textId="1B6EB254" w:rsidR="00CE3361" w:rsidRPr="00275C12" w:rsidRDefault="00CE3361" w:rsidP="00CE3361">
      <w:pPr>
        <w:tabs>
          <w:tab w:val="left" w:pos="284"/>
        </w:tabs>
        <w:spacing w:after="120" w:line="240" w:lineRule="auto"/>
        <w:ind w:left="0" w:firstLine="0"/>
        <w:rPr>
          <w:rFonts w:ascii="Nirmala UI Semilight" w:eastAsia="Times New Roman" w:hAnsi="Nirmala UI Semilight" w:cs="Nirmala UI Semilight"/>
          <w:color w:val="000000"/>
        </w:rPr>
      </w:pPr>
    </w:p>
    <w:p w14:paraId="1602BD05" w14:textId="5ADC2AFC" w:rsidR="00CE3361" w:rsidRPr="00275C12" w:rsidRDefault="00CE3361" w:rsidP="00CE3361">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Common Effect Model (CEM)</w:t>
      </w:r>
    </w:p>
    <w:p w14:paraId="5BA03FDD" w14:textId="79F18765" w:rsidR="002B25BE" w:rsidRPr="00275C12" w:rsidRDefault="00CE3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The panel data regression estimation method in the Fixed Effect Model uses the technique of adding dummy variables or Least Square Dummy Variables (LSDV). Based on the regression results using the Fixed Effect Model (FEM), the constant value is -6.421168 with a probability of 0.085485. The regression equation at the Adjusted R2 value of 0.145234 explains that the variation in the value of tax avoidance is influenced by CEO tenure, financial distress, and sales growth by 14.5234% and the remaining 85.4766% is influenced by other factors not examined in this study. The results of panel data regression with the Fixed Effect Model are presented in Tables 5 and 6 below:</w:t>
      </w:r>
    </w:p>
    <w:p w14:paraId="64845846" w14:textId="77777777" w:rsidR="00CE3361" w:rsidRDefault="00CE3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3E49F1C" w14:textId="77777777" w:rsidR="0022079F" w:rsidRDefault="002207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B055BA8" w14:textId="77777777" w:rsidR="0022079F" w:rsidRDefault="002207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F7C2436" w14:textId="77777777" w:rsidR="0022079F" w:rsidRDefault="002207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1CC98E7" w14:textId="77777777" w:rsidR="0022079F" w:rsidRPr="00275C12" w:rsidRDefault="002207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47F04EF" w14:textId="6B6AE8CC" w:rsidR="00CE3361" w:rsidRPr="00275C12" w:rsidRDefault="00CE3361" w:rsidP="00CE3361">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lastRenderedPageBreak/>
        <w:t>Table 5. Fixed Effect Model Test Results</w:t>
      </w:r>
    </w:p>
    <w:tbl>
      <w:tblPr>
        <w:tblStyle w:val="TableGrid"/>
        <w:tblW w:w="0" w:type="auto"/>
        <w:jc w:val="center"/>
        <w:tblLook w:val="04A0" w:firstRow="1" w:lastRow="0" w:firstColumn="1" w:lastColumn="0" w:noHBand="0" w:noVBand="1"/>
      </w:tblPr>
      <w:tblGrid>
        <w:gridCol w:w="2263"/>
        <w:gridCol w:w="1560"/>
        <w:gridCol w:w="1701"/>
        <w:gridCol w:w="1701"/>
        <w:gridCol w:w="1552"/>
      </w:tblGrid>
      <w:tr w:rsidR="00CE3361" w:rsidRPr="00275C12" w14:paraId="2005997D" w14:textId="77777777" w:rsidTr="00DF4E82">
        <w:trPr>
          <w:jc w:val="center"/>
        </w:trPr>
        <w:tc>
          <w:tcPr>
            <w:tcW w:w="2263" w:type="dxa"/>
            <w:hideMark/>
          </w:tcPr>
          <w:p w14:paraId="67ED142C" w14:textId="77777777" w:rsidR="00CE3361" w:rsidRPr="00275C12" w:rsidRDefault="00CE3361" w:rsidP="00DF4E82">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Variable</w:t>
            </w:r>
          </w:p>
        </w:tc>
        <w:tc>
          <w:tcPr>
            <w:tcW w:w="1560" w:type="dxa"/>
            <w:hideMark/>
          </w:tcPr>
          <w:p w14:paraId="0D2BC38A" w14:textId="77777777" w:rsidR="00CE3361" w:rsidRPr="00275C12" w:rsidRDefault="00CE3361" w:rsidP="00DF4E82">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Coefficient</w:t>
            </w:r>
          </w:p>
        </w:tc>
        <w:tc>
          <w:tcPr>
            <w:tcW w:w="1701" w:type="dxa"/>
            <w:hideMark/>
          </w:tcPr>
          <w:p w14:paraId="62F939A8" w14:textId="77777777" w:rsidR="00CE3361" w:rsidRPr="00275C12" w:rsidRDefault="00CE3361" w:rsidP="00DF4E82">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Std. Error</w:t>
            </w:r>
          </w:p>
        </w:tc>
        <w:tc>
          <w:tcPr>
            <w:tcW w:w="1701" w:type="dxa"/>
            <w:hideMark/>
          </w:tcPr>
          <w:p w14:paraId="0E25C889" w14:textId="77777777" w:rsidR="00CE3361" w:rsidRPr="00275C12" w:rsidRDefault="00CE3361" w:rsidP="00DF4E82">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t-statistic</w:t>
            </w:r>
          </w:p>
        </w:tc>
        <w:tc>
          <w:tcPr>
            <w:tcW w:w="1552" w:type="dxa"/>
            <w:hideMark/>
          </w:tcPr>
          <w:p w14:paraId="5A8AF5D4" w14:textId="77777777" w:rsidR="00CE3361" w:rsidRPr="00275C12" w:rsidRDefault="00CE3361" w:rsidP="00DF4E82">
            <w:pPr>
              <w:spacing w:after="160" w:line="259" w:lineRule="auto"/>
              <w:ind w:left="30" w:firstLine="0"/>
              <w:jc w:val="center"/>
              <w:rPr>
                <w:rFonts w:ascii="Nirmala UI Semilight" w:hAnsi="Nirmala UI Semilight" w:cs="Nirmala UI Semilight"/>
                <w:b/>
                <w:bCs/>
              </w:rPr>
            </w:pPr>
            <w:r w:rsidRPr="00275C12">
              <w:rPr>
                <w:rFonts w:ascii="Nirmala UI Semilight" w:hAnsi="Nirmala UI Semilight" w:cs="Nirmala UI Semilight"/>
                <w:b/>
                <w:bCs/>
              </w:rPr>
              <w:t>Probability</w:t>
            </w:r>
          </w:p>
        </w:tc>
      </w:tr>
      <w:tr w:rsidR="00CE3361" w:rsidRPr="00275C12" w14:paraId="1124C782" w14:textId="77777777" w:rsidTr="00DF4E82">
        <w:trPr>
          <w:jc w:val="center"/>
        </w:trPr>
        <w:tc>
          <w:tcPr>
            <w:tcW w:w="2263" w:type="dxa"/>
            <w:hideMark/>
          </w:tcPr>
          <w:p w14:paraId="11DE113A" w14:textId="77777777" w:rsidR="00CE3361" w:rsidRPr="00275C12" w:rsidRDefault="00CE3361" w:rsidP="00CE3361">
            <w:pPr>
              <w:spacing w:after="160" w:line="259" w:lineRule="auto"/>
              <w:ind w:left="30" w:firstLine="0"/>
              <w:rPr>
                <w:rFonts w:ascii="Nirmala UI Semilight" w:hAnsi="Nirmala UI Semilight" w:cs="Nirmala UI Semilight"/>
              </w:rPr>
            </w:pPr>
            <w:r w:rsidRPr="00275C12">
              <w:rPr>
                <w:rFonts w:ascii="Nirmala UI Semilight" w:hAnsi="Nirmala UI Semilight" w:cs="Nirmala UI Semilight"/>
              </w:rPr>
              <w:t>C</w:t>
            </w:r>
          </w:p>
        </w:tc>
        <w:tc>
          <w:tcPr>
            <w:tcW w:w="1560" w:type="dxa"/>
            <w:hideMark/>
          </w:tcPr>
          <w:p w14:paraId="0F47961F" w14:textId="65EDC542"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-6,421168 </w:t>
            </w:r>
          </w:p>
        </w:tc>
        <w:tc>
          <w:tcPr>
            <w:tcW w:w="1701" w:type="dxa"/>
            <w:hideMark/>
          </w:tcPr>
          <w:p w14:paraId="4856D1A4" w14:textId="63662E03"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2,858704 </w:t>
            </w:r>
          </w:p>
        </w:tc>
        <w:tc>
          <w:tcPr>
            <w:tcW w:w="1701" w:type="dxa"/>
            <w:hideMark/>
          </w:tcPr>
          <w:p w14:paraId="45B56B20" w14:textId="3A0681E3"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-2,246181 </w:t>
            </w:r>
          </w:p>
        </w:tc>
        <w:tc>
          <w:tcPr>
            <w:tcW w:w="1552" w:type="dxa"/>
            <w:hideMark/>
          </w:tcPr>
          <w:p w14:paraId="5BDB8FB4" w14:textId="090FCC2B"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0,0281 </w:t>
            </w:r>
          </w:p>
        </w:tc>
      </w:tr>
      <w:tr w:rsidR="00CE3361" w:rsidRPr="00275C12" w14:paraId="668216A2" w14:textId="77777777" w:rsidTr="00DF4E82">
        <w:trPr>
          <w:jc w:val="center"/>
        </w:trPr>
        <w:tc>
          <w:tcPr>
            <w:tcW w:w="2263" w:type="dxa"/>
            <w:hideMark/>
          </w:tcPr>
          <w:p w14:paraId="4B0674E8" w14:textId="77777777" w:rsidR="00CE3361" w:rsidRPr="00275C12" w:rsidRDefault="00CE3361" w:rsidP="00CE3361">
            <w:pPr>
              <w:spacing w:after="160" w:line="259" w:lineRule="auto"/>
              <w:ind w:left="30" w:firstLine="0"/>
              <w:rPr>
                <w:rFonts w:ascii="Nirmala UI Semilight" w:hAnsi="Nirmala UI Semilight" w:cs="Nirmala UI Semilight"/>
              </w:rPr>
            </w:pPr>
            <w:r w:rsidRPr="00275C12">
              <w:rPr>
                <w:rFonts w:ascii="Nirmala UI Semilight" w:hAnsi="Nirmala UI Semilight" w:cs="Nirmala UI Semilight"/>
              </w:rPr>
              <w:t>CEO Tenure</w:t>
            </w:r>
          </w:p>
        </w:tc>
        <w:tc>
          <w:tcPr>
            <w:tcW w:w="1560" w:type="dxa"/>
            <w:hideMark/>
          </w:tcPr>
          <w:p w14:paraId="51BFC857" w14:textId="46AB098B"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0,469798 </w:t>
            </w:r>
          </w:p>
        </w:tc>
        <w:tc>
          <w:tcPr>
            <w:tcW w:w="1701" w:type="dxa"/>
            <w:hideMark/>
          </w:tcPr>
          <w:p w14:paraId="45758633" w14:textId="6E94C1DC"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0,278706 </w:t>
            </w:r>
          </w:p>
        </w:tc>
        <w:tc>
          <w:tcPr>
            <w:tcW w:w="1701" w:type="dxa"/>
            <w:hideMark/>
          </w:tcPr>
          <w:p w14:paraId="48AA2F23" w14:textId="7175C306"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1,685641 </w:t>
            </w:r>
          </w:p>
        </w:tc>
        <w:tc>
          <w:tcPr>
            <w:tcW w:w="1552" w:type="dxa"/>
            <w:hideMark/>
          </w:tcPr>
          <w:p w14:paraId="43DF3F09" w14:textId="02EFC7F8"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0,0967 </w:t>
            </w:r>
          </w:p>
        </w:tc>
      </w:tr>
      <w:tr w:rsidR="00CE3361" w:rsidRPr="00275C12" w14:paraId="78E19BF3" w14:textId="77777777" w:rsidTr="00DF4E82">
        <w:trPr>
          <w:jc w:val="center"/>
        </w:trPr>
        <w:tc>
          <w:tcPr>
            <w:tcW w:w="2263" w:type="dxa"/>
            <w:hideMark/>
          </w:tcPr>
          <w:p w14:paraId="27AB20F1" w14:textId="77777777" w:rsidR="00CE3361" w:rsidRPr="00275C12" w:rsidRDefault="00CE3361" w:rsidP="00CE3361">
            <w:pPr>
              <w:spacing w:after="160" w:line="259" w:lineRule="auto"/>
              <w:ind w:left="30" w:firstLine="0"/>
              <w:rPr>
                <w:rFonts w:ascii="Nirmala UI Semilight" w:hAnsi="Nirmala UI Semilight" w:cs="Nirmala UI Semilight"/>
              </w:rPr>
            </w:pPr>
            <w:r w:rsidRPr="00275C12">
              <w:rPr>
                <w:rFonts w:ascii="Nirmala UI Semilight" w:hAnsi="Nirmala UI Semilight" w:cs="Nirmala UI Semilight"/>
              </w:rPr>
              <w:t>Financial Distress</w:t>
            </w:r>
          </w:p>
        </w:tc>
        <w:tc>
          <w:tcPr>
            <w:tcW w:w="1560" w:type="dxa"/>
            <w:hideMark/>
          </w:tcPr>
          <w:p w14:paraId="6B1B7A17" w14:textId="32054627"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0,781120 </w:t>
            </w:r>
          </w:p>
        </w:tc>
        <w:tc>
          <w:tcPr>
            <w:tcW w:w="1701" w:type="dxa"/>
            <w:hideMark/>
          </w:tcPr>
          <w:p w14:paraId="1827BB92" w14:textId="19415EFE"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0,304497 </w:t>
            </w:r>
          </w:p>
        </w:tc>
        <w:tc>
          <w:tcPr>
            <w:tcW w:w="1701" w:type="dxa"/>
            <w:hideMark/>
          </w:tcPr>
          <w:p w14:paraId="47538337" w14:textId="3E9B788B"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2,565284 </w:t>
            </w:r>
          </w:p>
        </w:tc>
        <w:tc>
          <w:tcPr>
            <w:tcW w:w="1552" w:type="dxa"/>
            <w:hideMark/>
          </w:tcPr>
          <w:p w14:paraId="69DDB124" w14:textId="6C7A326E"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0,0126 </w:t>
            </w:r>
          </w:p>
        </w:tc>
      </w:tr>
      <w:tr w:rsidR="00CE3361" w:rsidRPr="00275C12" w14:paraId="40AFB7F1" w14:textId="77777777" w:rsidTr="00DF4E82">
        <w:trPr>
          <w:jc w:val="center"/>
        </w:trPr>
        <w:tc>
          <w:tcPr>
            <w:tcW w:w="2263" w:type="dxa"/>
            <w:hideMark/>
          </w:tcPr>
          <w:p w14:paraId="0228AC5F" w14:textId="77777777" w:rsidR="00CE3361" w:rsidRPr="00275C12" w:rsidRDefault="00CE3361" w:rsidP="00CE3361">
            <w:pPr>
              <w:spacing w:after="160" w:line="259" w:lineRule="auto"/>
              <w:ind w:left="30" w:firstLine="0"/>
              <w:rPr>
                <w:rFonts w:ascii="Nirmala UI Semilight" w:hAnsi="Nirmala UI Semilight" w:cs="Nirmala UI Semilight"/>
              </w:rPr>
            </w:pPr>
            <w:r w:rsidRPr="00275C12">
              <w:rPr>
                <w:rFonts w:ascii="Nirmala UI Semilight" w:hAnsi="Nirmala UI Semilight" w:cs="Nirmala UI Semilight"/>
              </w:rPr>
              <w:t>Sales Growth</w:t>
            </w:r>
          </w:p>
        </w:tc>
        <w:tc>
          <w:tcPr>
            <w:tcW w:w="1560" w:type="dxa"/>
            <w:hideMark/>
          </w:tcPr>
          <w:p w14:paraId="6D696BFC" w14:textId="055FF2C5"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-0,693061 </w:t>
            </w:r>
          </w:p>
        </w:tc>
        <w:tc>
          <w:tcPr>
            <w:tcW w:w="1701" w:type="dxa"/>
            <w:hideMark/>
          </w:tcPr>
          <w:p w14:paraId="00609A97" w14:textId="57A3E825"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0,465398 </w:t>
            </w:r>
          </w:p>
        </w:tc>
        <w:tc>
          <w:tcPr>
            <w:tcW w:w="1701" w:type="dxa"/>
            <w:hideMark/>
          </w:tcPr>
          <w:p w14:paraId="15173699" w14:textId="169ACADF"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-1,489180 </w:t>
            </w:r>
          </w:p>
        </w:tc>
        <w:tc>
          <w:tcPr>
            <w:tcW w:w="1552" w:type="dxa"/>
            <w:hideMark/>
          </w:tcPr>
          <w:p w14:paraId="369657B6" w14:textId="141DFD9F" w:rsidR="00CE3361" w:rsidRPr="00275C12" w:rsidRDefault="00CE3361" w:rsidP="00CE3361">
            <w:pPr>
              <w:spacing w:after="160" w:line="259" w:lineRule="auto"/>
              <w:ind w:left="30" w:firstLine="0"/>
              <w:jc w:val="right"/>
              <w:rPr>
                <w:rFonts w:ascii="Nirmala UI Semilight" w:hAnsi="Nirmala UI Semilight" w:cs="Nirmala UI Semilight"/>
              </w:rPr>
            </w:pPr>
            <w:r w:rsidRPr="00275C12">
              <w:rPr>
                <w:rFonts w:ascii="Nirmala UI Semilight" w:hAnsi="Nirmala UI Semilight" w:cs="Nirmala UI Semilight"/>
              </w:rPr>
              <w:t xml:space="preserve">0,1413 </w:t>
            </w:r>
          </w:p>
        </w:tc>
      </w:tr>
    </w:tbl>
    <w:p w14:paraId="303067E7" w14:textId="77777777" w:rsidR="00CE3361" w:rsidRPr="00275C12" w:rsidRDefault="00CE3361" w:rsidP="00CE3361">
      <w:pPr>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3661ED71" w14:textId="77777777" w:rsidR="00CE3361" w:rsidRPr="00275C12" w:rsidRDefault="00CE3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1332AC3" w14:textId="49A0D11F" w:rsidR="00CE3361" w:rsidRPr="00275C12" w:rsidRDefault="00CE3361" w:rsidP="00CE3361">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Table 6. Fixed Effect Model Test Statistics</w:t>
      </w:r>
    </w:p>
    <w:tbl>
      <w:tblPr>
        <w:tblStyle w:val="TableGrid"/>
        <w:tblW w:w="0" w:type="auto"/>
        <w:tblLook w:val="04A0" w:firstRow="1" w:lastRow="0" w:firstColumn="1" w:lastColumn="0" w:noHBand="0" w:noVBand="1"/>
      </w:tblPr>
      <w:tblGrid>
        <w:gridCol w:w="2263"/>
        <w:gridCol w:w="1560"/>
        <w:gridCol w:w="3118"/>
        <w:gridCol w:w="1836"/>
      </w:tblGrid>
      <w:tr w:rsidR="00CE3361" w:rsidRPr="00275C12" w14:paraId="60172EF0" w14:textId="77777777" w:rsidTr="00DF4E82">
        <w:tc>
          <w:tcPr>
            <w:tcW w:w="2263" w:type="dxa"/>
          </w:tcPr>
          <w:p w14:paraId="32FC6CE2"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R-squared</w:t>
            </w:r>
          </w:p>
        </w:tc>
        <w:tc>
          <w:tcPr>
            <w:tcW w:w="1560" w:type="dxa"/>
          </w:tcPr>
          <w:p w14:paraId="18E9DF1D" w14:textId="0003BCCE"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0,449903 </w:t>
            </w:r>
          </w:p>
        </w:tc>
        <w:tc>
          <w:tcPr>
            <w:tcW w:w="3118" w:type="dxa"/>
          </w:tcPr>
          <w:p w14:paraId="5F211A2C"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Durbin-Watson stat</w:t>
            </w:r>
          </w:p>
        </w:tc>
        <w:tc>
          <w:tcPr>
            <w:tcW w:w="1836" w:type="dxa"/>
          </w:tcPr>
          <w:p w14:paraId="13F6047F" w14:textId="436C7405"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0,635870 </w:t>
            </w:r>
          </w:p>
        </w:tc>
      </w:tr>
      <w:tr w:rsidR="00CE3361" w:rsidRPr="00275C12" w14:paraId="07E7FB33" w14:textId="77777777" w:rsidTr="00DF4E82">
        <w:tc>
          <w:tcPr>
            <w:tcW w:w="2263" w:type="dxa"/>
          </w:tcPr>
          <w:p w14:paraId="74708CDE"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Adjusted R-squared</w:t>
            </w:r>
          </w:p>
        </w:tc>
        <w:tc>
          <w:tcPr>
            <w:tcW w:w="1560" w:type="dxa"/>
          </w:tcPr>
          <w:p w14:paraId="1CD91F21" w14:textId="7BDA6325"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0,145234 </w:t>
            </w:r>
          </w:p>
        </w:tc>
        <w:tc>
          <w:tcPr>
            <w:tcW w:w="3118" w:type="dxa"/>
          </w:tcPr>
          <w:p w14:paraId="508BFFD7"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Mean dependent var</w:t>
            </w:r>
          </w:p>
        </w:tc>
        <w:tc>
          <w:tcPr>
            <w:tcW w:w="1836" w:type="dxa"/>
          </w:tcPr>
          <w:p w14:paraId="25E2C68E" w14:textId="02C85A00"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2,448324 </w:t>
            </w:r>
          </w:p>
        </w:tc>
      </w:tr>
      <w:tr w:rsidR="00CE3361" w:rsidRPr="00275C12" w14:paraId="67C1B82C" w14:textId="77777777" w:rsidTr="00DF4E82">
        <w:tc>
          <w:tcPr>
            <w:tcW w:w="2263" w:type="dxa"/>
          </w:tcPr>
          <w:p w14:paraId="699C7D2F"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S.E. of regression</w:t>
            </w:r>
          </w:p>
        </w:tc>
        <w:tc>
          <w:tcPr>
            <w:tcW w:w="1560" w:type="dxa"/>
          </w:tcPr>
          <w:p w14:paraId="337B73FA" w14:textId="069306EB"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2,263562 </w:t>
            </w:r>
          </w:p>
        </w:tc>
        <w:tc>
          <w:tcPr>
            <w:tcW w:w="3118" w:type="dxa"/>
          </w:tcPr>
          <w:p w14:paraId="221D19FC"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S.D. of dependent var</w:t>
            </w:r>
          </w:p>
        </w:tc>
        <w:tc>
          <w:tcPr>
            <w:tcW w:w="1836" w:type="dxa"/>
          </w:tcPr>
          <w:p w14:paraId="517A9C0E" w14:textId="0EC46561"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4,746662 </w:t>
            </w:r>
          </w:p>
        </w:tc>
      </w:tr>
      <w:tr w:rsidR="00CE3361" w:rsidRPr="00275C12" w14:paraId="1D0635E3" w14:textId="77777777" w:rsidTr="00DF4E82">
        <w:tc>
          <w:tcPr>
            <w:tcW w:w="2263" w:type="dxa"/>
          </w:tcPr>
          <w:p w14:paraId="0DC37031"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Sum squared resid</w:t>
            </w:r>
          </w:p>
        </w:tc>
        <w:tc>
          <w:tcPr>
            <w:tcW w:w="1560" w:type="dxa"/>
          </w:tcPr>
          <w:p w14:paraId="1DB3B31D" w14:textId="499912B3"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333,0415 </w:t>
            </w:r>
          </w:p>
        </w:tc>
        <w:tc>
          <w:tcPr>
            <w:tcW w:w="3118" w:type="dxa"/>
          </w:tcPr>
          <w:p w14:paraId="11EB1291"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Akaike info criterion</w:t>
            </w:r>
          </w:p>
        </w:tc>
        <w:tc>
          <w:tcPr>
            <w:tcW w:w="1836" w:type="dxa"/>
          </w:tcPr>
          <w:p w14:paraId="0233EC8B" w14:textId="739C15EA"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5,698858 </w:t>
            </w:r>
          </w:p>
        </w:tc>
      </w:tr>
      <w:tr w:rsidR="00CE3361" w:rsidRPr="00275C12" w14:paraId="0BBCCA5E" w14:textId="77777777" w:rsidTr="00DF4E82">
        <w:tc>
          <w:tcPr>
            <w:tcW w:w="2263" w:type="dxa"/>
          </w:tcPr>
          <w:p w14:paraId="124E1173"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Log likelihood</w:t>
            </w:r>
          </w:p>
        </w:tc>
        <w:tc>
          <w:tcPr>
            <w:tcW w:w="1560" w:type="dxa"/>
          </w:tcPr>
          <w:p w14:paraId="580013EF" w14:textId="14FA9B70"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-205,0797 </w:t>
            </w:r>
          </w:p>
        </w:tc>
        <w:tc>
          <w:tcPr>
            <w:tcW w:w="3118" w:type="dxa"/>
          </w:tcPr>
          <w:p w14:paraId="1609A9A5"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Schwarz criterion</w:t>
            </w:r>
          </w:p>
        </w:tc>
        <w:tc>
          <w:tcPr>
            <w:tcW w:w="1836" w:type="dxa"/>
          </w:tcPr>
          <w:p w14:paraId="0BBDCF0D" w14:textId="468F5C6F"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5,132238 </w:t>
            </w:r>
          </w:p>
        </w:tc>
      </w:tr>
      <w:tr w:rsidR="00CE3361" w:rsidRPr="00275C12" w14:paraId="7F44BDD1" w14:textId="77777777" w:rsidTr="00DF4E82">
        <w:tc>
          <w:tcPr>
            <w:tcW w:w="2263" w:type="dxa"/>
          </w:tcPr>
          <w:p w14:paraId="64AC24CE"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F-statistic</w:t>
            </w:r>
          </w:p>
        </w:tc>
        <w:tc>
          <w:tcPr>
            <w:tcW w:w="1560" w:type="dxa"/>
          </w:tcPr>
          <w:p w14:paraId="3B0CD691" w14:textId="76CB82C8"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1,476694 </w:t>
            </w:r>
          </w:p>
        </w:tc>
        <w:tc>
          <w:tcPr>
            <w:tcW w:w="3118" w:type="dxa"/>
          </w:tcPr>
          <w:p w14:paraId="76904972"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Hannan-Quinn criterion</w:t>
            </w:r>
          </w:p>
        </w:tc>
        <w:tc>
          <w:tcPr>
            <w:tcW w:w="1836" w:type="dxa"/>
          </w:tcPr>
          <w:p w14:paraId="185E9347" w14:textId="38FF6A29"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2,200631 </w:t>
            </w:r>
          </w:p>
        </w:tc>
      </w:tr>
      <w:tr w:rsidR="00CE3361" w:rsidRPr="00275C12" w14:paraId="513B3572" w14:textId="77777777" w:rsidTr="00DF4E82">
        <w:tc>
          <w:tcPr>
            <w:tcW w:w="2263" w:type="dxa"/>
          </w:tcPr>
          <w:p w14:paraId="0B32EF85"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Prob(F-statistic)</w:t>
            </w:r>
          </w:p>
        </w:tc>
        <w:tc>
          <w:tcPr>
            <w:tcW w:w="1560" w:type="dxa"/>
          </w:tcPr>
          <w:p w14:paraId="3C1B66B5" w14:textId="0A9424AC"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0,085485</w:t>
            </w:r>
          </w:p>
        </w:tc>
        <w:tc>
          <w:tcPr>
            <w:tcW w:w="3118" w:type="dxa"/>
          </w:tcPr>
          <w:p w14:paraId="023FF9BC" w14:textId="77777777" w:rsidR="00CE3361" w:rsidRPr="00275C12" w:rsidRDefault="00CE3361" w:rsidP="00CE3361">
            <w:pPr>
              <w:tabs>
                <w:tab w:val="left" w:pos="284"/>
              </w:tabs>
              <w:spacing w:after="120"/>
              <w:ind w:left="0" w:firstLine="0"/>
              <w:rPr>
                <w:rFonts w:ascii="Nirmala UI Semilight" w:eastAsia="Times New Roman" w:hAnsi="Nirmala UI Semilight" w:cs="Nirmala UI Semilight"/>
                <w:color w:val="000000"/>
              </w:rPr>
            </w:pPr>
          </w:p>
        </w:tc>
        <w:tc>
          <w:tcPr>
            <w:tcW w:w="1836" w:type="dxa"/>
          </w:tcPr>
          <w:p w14:paraId="6B5C5BD0" w14:textId="77777777" w:rsidR="00CE3361" w:rsidRPr="00275C12" w:rsidRDefault="00CE3361" w:rsidP="00CE3361">
            <w:pPr>
              <w:tabs>
                <w:tab w:val="left" w:pos="284"/>
              </w:tabs>
              <w:spacing w:after="120"/>
              <w:ind w:left="0" w:firstLine="0"/>
              <w:jc w:val="right"/>
              <w:rPr>
                <w:rFonts w:ascii="Nirmala UI Semilight" w:eastAsia="Times New Roman" w:hAnsi="Nirmala UI Semilight" w:cs="Nirmala UI Semilight"/>
                <w:color w:val="000000"/>
              </w:rPr>
            </w:pPr>
          </w:p>
        </w:tc>
      </w:tr>
    </w:tbl>
    <w:p w14:paraId="18545F4D" w14:textId="0D13BDA2" w:rsidR="002B25BE" w:rsidRPr="00275C12" w:rsidRDefault="00CE3361" w:rsidP="00CE3361">
      <w:pPr>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74DB64D9" w14:textId="77777777" w:rsidR="00CE3361" w:rsidRPr="00275C12" w:rsidRDefault="00CE3361" w:rsidP="00CE3361">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p>
    <w:p w14:paraId="4C81D826" w14:textId="2B6C4D3A" w:rsidR="00CE3361" w:rsidRPr="00275C12" w:rsidRDefault="00CE3361" w:rsidP="00CE3361">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Common Effect Model (CEM)</w:t>
      </w:r>
    </w:p>
    <w:p w14:paraId="5D0DA599" w14:textId="77777777" w:rsidR="00427C26" w:rsidRPr="00275C12" w:rsidRDefault="002B25BE" w:rsidP="00427C26">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427C26" w:rsidRPr="00275C12">
        <w:rPr>
          <w:rFonts w:ascii="Nirmala UI Semilight" w:eastAsia="Times New Roman" w:hAnsi="Nirmala UI Semilight" w:cs="Nirmala UI Semilight"/>
          <w:color w:val="000000"/>
        </w:rPr>
        <w:t>In the Random Effect Model, differences in intercepts are accommodated by the error terms of each company. In this model it is assumed that there will always be error terms that may be correlated across cross section and time series. The panel data regression estimation method in the Random Effect Model uses the Generalized Least Square (GLS) method.</w:t>
      </w:r>
    </w:p>
    <w:p w14:paraId="0DAFAEE3" w14:textId="1AC7B70D" w:rsidR="002B25BE" w:rsidRPr="00275C12" w:rsidRDefault="00427C26" w:rsidP="00427C26">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Based on the regression results using the Random Effect Model (REM), the constant value is 0.474502 with a probability of 0.006238. The regression equation at the Adjusted R2 value of 0.090961 explains that the variation in the value of tax avoidance is influenced by CEO tenure, financial distress, and sales growth by 9.0961% and the remaining 90.9039% is influenced by other factors not examined in this study. The following is the output of the panel data regression with the Random Effect Model presented in Table 7 and Table 8:</w:t>
      </w:r>
    </w:p>
    <w:p w14:paraId="637FE824" w14:textId="77777777" w:rsidR="002B25BE" w:rsidRPr="00275C12"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1BFB90D" w14:textId="13E50145" w:rsidR="002B25BE" w:rsidRPr="00275C12"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Table </w:t>
      </w:r>
      <w:r w:rsidR="00CE3361" w:rsidRPr="00275C12">
        <w:rPr>
          <w:rFonts w:ascii="Nirmala UI Semilight" w:eastAsia="Times New Roman" w:hAnsi="Nirmala UI Semilight" w:cs="Nirmala UI Semilight"/>
          <w:color w:val="000000"/>
        </w:rPr>
        <w:t>7</w:t>
      </w:r>
      <w:r w:rsidRPr="00275C12">
        <w:rPr>
          <w:rFonts w:ascii="Nirmala UI Semilight" w:eastAsia="Times New Roman" w:hAnsi="Nirmala UI Semilight" w:cs="Nirmala UI Semilight"/>
          <w:color w:val="000000"/>
        </w:rPr>
        <w:t xml:space="preserve">. </w:t>
      </w:r>
      <w:r w:rsidR="00427C26" w:rsidRPr="00275C12">
        <w:rPr>
          <w:rFonts w:ascii="Nirmala UI Semilight" w:eastAsia="Times New Roman" w:hAnsi="Nirmala UI Semilight" w:cs="Nirmala UI Semilight"/>
          <w:color w:val="000000"/>
        </w:rPr>
        <w:t xml:space="preserve">Random </w:t>
      </w:r>
      <w:r w:rsidR="00CE3361" w:rsidRPr="00275C12">
        <w:rPr>
          <w:rFonts w:ascii="Nirmala UI Semilight" w:eastAsia="Times New Roman" w:hAnsi="Nirmala UI Semilight" w:cs="Nirmala UI Semilight"/>
          <w:color w:val="000000"/>
        </w:rPr>
        <w:t xml:space="preserve">Effect Model </w:t>
      </w:r>
      <w:r w:rsidRPr="00275C12">
        <w:rPr>
          <w:rFonts w:ascii="Nirmala UI Semilight" w:eastAsia="Times New Roman" w:hAnsi="Nirmala UI Semilight" w:cs="Nirmala UI Semilight"/>
          <w:color w:val="000000"/>
        </w:rPr>
        <w:t>Test Results</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1260"/>
        <w:gridCol w:w="157"/>
        <w:gridCol w:w="1092"/>
        <w:gridCol w:w="326"/>
        <w:gridCol w:w="923"/>
        <w:gridCol w:w="636"/>
        <w:gridCol w:w="1862"/>
      </w:tblGrid>
      <w:tr w:rsidR="00427C26" w:rsidRPr="00275C12" w14:paraId="34B8A931" w14:textId="77777777" w:rsidTr="00F06268">
        <w:trPr>
          <w:trHeight w:val="204"/>
          <w:jc w:val="center"/>
        </w:trPr>
        <w:tc>
          <w:tcPr>
            <w:tcW w:w="2492" w:type="dxa"/>
          </w:tcPr>
          <w:p w14:paraId="12BB0592" w14:textId="5D3ABA8B" w:rsidR="00427C26" w:rsidRPr="00275C12" w:rsidRDefault="00427C26" w:rsidP="00427C26">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Variable</w:t>
            </w:r>
          </w:p>
        </w:tc>
        <w:tc>
          <w:tcPr>
            <w:tcW w:w="1417" w:type="dxa"/>
            <w:gridSpan w:val="2"/>
          </w:tcPr>
          <w:p w14:paraId="2BD16A89" w14:textId="311341FC" w:rsidR="00427C26" w:rsidRPr="00275C12" w:rsidRDefault="00427C26" w:rsidP="00427C26">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Coefficient</w:t>
            </w:r>
          </w:p>
        </w:tc>
        <w:tc>
          <w:tcPr>
            <w:tcW w:w="1418" w:type="dxa"/>
            <w:gridSpan w:val="2"/>
          </w:tcPr>
          <w:p w14:paraId="1BF0E1F6" w14:textId="4AD73212" w:rsidR="00427C26" w:rsidRPr="00275C12" w:rsidRDefault="00427C26" w:rsidP="00427C26">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Std. Error</w:t>
            </w:r>
          </w:p>
        </w:tc>
        <w:tc>
          <w:tcPr>
            <w:tcW w:w="1559" w:type="dxa"/>
            <w:gridSpan w:val="2"/>
          </w:tcPr>
          <w:p w14:paraId="03196C31" w14:textId="3CA8A7FE" w:rsidR="00427C26" w:rsidRPr="00275C12" w:rsidRDefault="00427C26" w:rsidP="00427C26">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t-statistic</w:t>
            </w:r>
          </w:p>
        </w:tc>
        <w:tc>
          <w:tcPr>
            <w:tcW w:w="1862" w:type="dxa"/>
          </w:tcPr>
          <w:p w14:paraId="015854C5" w14:textId="2D4191BE" w:rsidR="00427C26" w:rsidRPr="00275C12" w:rsidRDefault="00427C26" w:rsidP="00427C26">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Probability value</w:t>
            </w:r>
          </w:p>
        </w:tc>
      </w:tr>
      <w:tr w:rsidR="00427C26" w:rsidRPr="00275C12" w14:paraId="284246E9" w14:textId="77777777" w:rsidTr="00F06268">
        <w:trPr>
          <w:trHeight w:val="90"/>
          <w:jc w:val="center"/>
        </w:trPr>
        <w:tc>
          <w:tcPr>
            <w:tcW w:w="2492" w:type="dxa"/>
          </w:tcPr>
          <w:p w14:paraId="2B3F79F0"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C </w:t>
            </w:r>
          </w:p>
        </w:tc>
        <w:tc>
          <w:tcPr>
            <w:tcW w:w="1417" w:type="dxa"/>
            <w:gridSpan w:val="2"/>
          </w:tcPr>
          <w:p w14:paraId="3D35BB46"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0,474502 </w:t>
            </w:r>
          </w:p>
        </w:tc>
        <w:tc>
          <w:tcPr>
            <w:tcW w:w="1418" w:type="dxa"/>
            <w:gridSpan w:val="2"/>
          </w:tcPr>
          <w:p w14:paraId="515E4EC6"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0,543777 </w:t>
            </w:r>
          </w:p>
        </w:tc>
        <w:tc>
          <w:tcPr>
            <w:tcW w:w="1559" w:type="dxa"/>
            <w:gridSpan w:val="2"/>
          </w:tcPr>
          <w:p w14:paraId="2A00D819"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0,872604 </w:t>
            </w:r>
          </w:p>
        </w:tc>
        <w:tc>
          <w:tcPr>
            <w:tcW w:w="1862" w:type="dxa"/>
          </w:tcPr>
          <w:p w14:paraId="7D6F0C92"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0,3850 </w:t>
            </w:r>
          </w:p>
        </w:tc>
      </w:tr>
      <w:tr w:rsidR="00427C26" w:rsidRPr="00275C12" w14:paraId="2AB8373A" w14:textId="77777777" w:rsidTr="00F06268">
        <w:trPr>
          <w:trHeight w:val="90"/>
          <w:jc w:val="center"/>
        </w:trPr>
        <w:tc>
          <w:tcPr>
            <w:tcW w:w="2492" w:type="dxa"/>
          </w:tcPr>
          <w:p w14:paraId="11A71484"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CEO Tenure </w:t>
            </w:r>
          </w:p>
        </w:tc>
        <w:tc>
          <w:tcPr>
            <w:tcW w:w="1417" w:type="dxa"/>
            <w:gridSpan w:val="2"/>
          </w:tcPr>
          <w:p w14:paraId="51CAC473"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-0,023805 </w:t>
            </w:r>
          </w:p>
        </w:tc>
        <w:tc>
          <w:tcPr>
            <w:tcW w:w="1418" w:type="dxa"/>
            <w:gridSpan w:val="2"/>
          </w:tcPr>
          <w:p w14:paraId="6ADF47F7"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0,037579 </w:t>
            </w:r>
          </w:p>
        </w:tc>
        <w:tc>
          <w:tcPr>
            <w:tcW w:w="1559" w:type="dxa"/>
            <w:gridSpan w:val="2"/>
          </w:tcPr>
          <w:p w14:paraId="12D8C6EB"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-0,633461 </w:t>
            </w:r>
          </w:p>
        </w:tc>
        <w:tc>
          <w:tcPr>
            <w:tcW w:w="1862" w:type="dxa"/>
          </w:tcPr>
          <w:p w14:paraId="2153E656"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0,5279 </w:t>
            </w:r>
          </w:p>
        </w:tc>
      </w:tr>
      <w:tr w:rsidR="00427C26" w:rsidRPr="00275C12" w14:paraId="6A41845D" w14:textId="77777777" w:rsidTr="00F06268">
        <w:trPr>
          <w:trHeight w:val="90"/>
          <w:jc w:val="center"/>
        </w:trPr>
        <w:tc>
          <w:tcPr>
            <w:tcW w:w="2492" w:type="dxa"/>
          </w:tcPr>
          <w:p w14:paraId="782B7892"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Financial Distress </w:t>
            </w:r>
          </w:p>
        </w:tc>
        <w:tc>
          <w:tcPr>
            <w:tcW w:w="1417" w:type="dxa"/>
            <w:gridSpan w:val="2"/>
          </w:tcPr>
          <w:p w14:paraId="36BD6456"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0,156614 </w:t>
            </w:r>
          </w:p>
        </w:tc>
        <w:tc>
          <w:tcPr>
            <w:tcW w:w="1418" w:type="dxa"/>
            <w:gridSpan w:val="2"/>
          </w:tcPr>
          <w:p w14:paraId="1ABF1548"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0,102116 </w:t>
            </w:r>
          </w:p>
        </w:tc>
        <w:tc>
          <w:tcPr>
            <w:tcW w:w="1559" w:type="dxa"/>
            <w:gridSpan w:val="2"/>
          </w:tcPr>
          <w:p w14:paraId="2FA01D0F"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1,533690 </w:t>
            </w:r>
          </w:p>
        </w:tc>
        <w:tc>
          <w:tcPr>
            <w:tcW w:w="1862" w:type="dxa"/>
          </w:tcPr>
          <w:p w14:paraId="2C87A13E"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0,1283 </w:t>
            </w:r>
          </w:p>
        </w:tc>
      </w:tr>
      <w:tr w:rsidR="00427C26" w:rsidRPr="00275C12" w14:paraId="46E27EF5" w14:textId="77777777" w:rsidTr="00F06268">
        <w:trPr>
          <w:trHeight w:val="90"/>
          <w:jc w:val="center"/>
        </w:trPr>
        <w:tc>
          <w:tcPr>
            <w:tcW w:w="2492" w:type="dxa"/>
          </w:tcPr>
          <w:p w14:paraId="6E7FD081"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Sales Growth </w:t>
            </w:r>
          </w:p>
        </w:tc>
        <w:tc>
          <w:tcPr>
            <w:tcW w:w="1417" w:type="dxa"/>
            <w:gridSpan w:val="2"/>
          </w:tcPr>
          <w:p w14:paraId="386ED435"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-1,207198 </w:t>
            </w:r>
          </w:p>
        </w:tc>
        <w:tc>
          <w:tcPr>
            <w:tcW w:w="1418" w:type="dxa"/>
            <w:gridSpan w:val="2"/>
          </w:tcPr>
          <w:p w14:paraId="0ECFCC19"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0,370106 </w:t>
            </w:r>
          </w:p>
        </w:tc>
        <w:tc>
          <w:tcPr>
            <w:tcW w:w="1559" w:type="dxa"/>
            <w:gridSpan w:val="2"/>
          </w:tcPr>
          <w:p w14:paraId="54D5A290"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-3,261766 </w:t>
            </w:r>
          </w:p>
        </w:tc>
        <w:tc>
          <w:tcPr>
            <w:tcW w:w="1862" w:type="dxa"/>
          </w:tcPr>
          <w:p w14:paraId="22CA5318"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0,0015 </w:t>
            </w:r>
          </w:p>
        </w:tc>
      </w:tr>
      <w:tr w:rsidR="00427C26" w:rsidRPr="00275C12" w14:paraId="3A29D9F7" w14:textId="77777777" w:rsidTr="00F06268">
        <w:trPr>
          <w:trHeight w:val="90"/>
          <w:jc w:val="center"/>
        </w:trPr>
        <w:tc>
          <w:tcPr>
            <w:tcW w:w="8748" w:type="dxa"/>
            <w:gridSpan w:val="8"/>
          </w:tcPr>
          <w:p w14:paraId="7A2D6287"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rPr>
              <w:t xml:space="preserve">Effects Specification </w:t>
            </w:r>
          </w:p>
        </w:tc>
      </w:tr>
      <w:tr w:rsidR="00427C26" w:rsidRPr="00275C12" w14:paraId="0AD92E8A" w14:textId="77777777" w:rsidTr="00F06268">
        <w:trPr>
          <w:trHeight w:val="88"/>
          <w:jc w:val="center"/>
        </w:trPr>
        <w:tc>
          <w:tcPr>
            <w:tcW w:w="5001" w:type="dxa"/>
            <w:gridSpan w:val="4"/>
          </w:tcPr>
          <w:p w14:paraId="729BBB8F"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S.D. </w:t>
            </w:r>
          </w:p>
        </w:tc>
        <w:tc>
          <w:tcPr>
            <w:tcW w:w="3747" w:type="dxa"/>
            <w:gridSpan w:val="4"/>
          </w:tcPr>
          <w:p w14:paraId="5B774D31"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Rho </w:t>
            </w:r>
          </w:p>
        </w:tc>
      </w:tr>
      <w:tr w:rsidR="00427C26" w:rsidRPr="00275C12" w14:paraId="3AF3D9C7" w14:textId="77777777" w:rsidTr="00F06268">
        <w:trPr>
          <w:trHeight w:val="90"/>
          <w:jc w:val="center"/>
        </w:trPr>
        <w:tc>
          <w:tcPr>
            <w:tcW w:w="3752" w:type="dxa"/>
            <w:gridSpan w:val="2"/>
          </w:tcPr>
          <w:p w14:paraId="48DB2086"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Cross-section random </w:t>
            </w:r>
          </w:p>
        </w:tc>
        <w:tc>
          <w:tcPr>
            <w:tcW w:w="2498" w:type="dxa"/>
            <w:gridSpan w:val="4"/>
          </w:tcPr>
          <w:p w14:paraId="197B9DF5"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0,000000 </w:t>
            </w:r>
          </w:p>
        </w:tc>
        <w:tc>
          <w:tcPr>
            <w:tcW w:w="2498" w:type="dxa"/>
            <w:gridSpan w:val="2"/>
          </w:tcPr>
          <w:p w14:paraId="36677B59"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0,0000 </w:t>
            </w:r>
          </w:p>
        </w:tc>
      </w:tr>
      <w:tr w:rsidR="00427C26" w:rsidRPr="00275C12" w14:paraId="1E7BA30E" w14:textId="77777777" w:rsidTr="00F06268">
        <w:trPr>
          <w:trHeight w:val="90"/>
          <w:jc w:val="center"/>
        </w:trPr>
        <w:tc>
          <w:tcPr>
            <w:tcW w:w="3752" w:type="dxa"/>
            <w:gridSpan w:val="2"/>
          </w:tcPr>
          <w:p w14:paraId="37F675F8" w14:textId="77777777" w:rsidR="00427C26" w:rsidRPr="00275C12" w:rsidRDefault="00427C26" w:rsidP="00427C26">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lastRenderedPageBreak/>
              <w:t xml:space="preserve">Idiosyncratic random </w:t>
            </w:r>
          </w:p>
        </w:tc>
        <w:tc>
          <w:tcPr>
            <w:tcW w:w="2498" w:type="dxa"/>
            <w:gridSpan w:val="4"/>
          </w:tcPr>
          <w:p w14:paraId="05187A4C"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2,263562 </w:t>
            </w:r>
          </w:p>
        </w:tc>
        <w:tc>
          <w:tcPr>
            <w:tcW w:w="2498" w:type="dxa"/>
            <w:gridSpan w:val="2"/>
          </w:tcPr>
          <w:p w14:paraId="171868DD" w14:textId="77777777" w:rsidR="00427C26" w:rsidRPr="00275C12" w:rsidRDefault="00427C26" w:rsidP="00427C26">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1,0000 </w:t>
            </w:r>
          </w:p>
        </w:tc>
      </w:tr>
    </w:tbl>
    <w:p w14:paraId="2756430F" w14:textId="792D0252" w:rsidR="00427C26" w:rsidRPr="00275C12" w:rsidRDefault="00427C26" w:rsidP="00427C26">
      <w:pPr>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757D74DA" w14:textId="77777777" w:rsidR="00427C26" w:rsidRPr="00275C12" w:rsidRDefault="00427C26">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57B8687" w14:textId="77777777" w:rsidR="00F06268" w:rsidRPr="00275C12" w:rsidRDefault="00F06268" w:rsidP="00427C26">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p>
    <w:p w14:paraId="6018F67F" w14:textId="79B525E4" w:rsidR="00427C26" w:rsidRPr="00275C12" w:rsidRDefault="00427C26" w:rsidP="00427C26">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Table 8. Random Effect Test Statistics Model</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1"/>
        <w:gridCol w:w="1701"/>
        <w:gridCol w:w="2205"/>
        <w:gridCol w:w="1674"/>
      </w:tblGrid>
      <w:tr w:rsidR="00427C26" w:rsidRPr="00275C12" w14:paraId="571B1729" w14:textId="77777777" w:rsidTr="00F06268">
        <w:trPr>
          <w:trHeight w:val="90"/>
          <w:jc w:val="center"/>
        </w:trPr>
        <w:tc>
          <w:tcPr>
            <w:tcW w:w="8781" w:type="dxa"/>
            <w:gridSpan w:val="4"/>
            <w:vAlign w:val="center"/>
          </w:tcPr>
          <w:p w14:paraId="63E158DE" w14:textId="77777777" w:rsidR="00427C26" w:rsidRPr="00275C12" w:rsidRDefault="00427C26" w:rsidP="00427C26">
            <w:pPr>
              <w:spacing w:after="0" w:line="240" w:lineRule="auto"/>
              <w:ind w:left="0" w:firstLine="0"/>
              <w:jc w:val="center"/>
              <w:rPr>
                <w:rFonts w:ascii="Nirmala UI Semilight" w:hAnsi="Nirmala UI Semilight" w:cs="Nirmala UI Semilight"/>
              </w:rPr>
            </w:pPr>
            <w:r w:rsidRPr="00275C12">
              <w:rPr>
                <w:rFonts w:ascii="Nirmala UI Semilight" w:hAnsi="Nirmala UI Semilight" w:cs="Nirmala UI Semilight"/>
              </w:rPr>
              <w:t>Weighted Statistics</w:t>
            </w:r>
          </w:p>
        </w:tc>
      </w:tr>
      <w:tr w:rsidR="00427C26" w:rsidRPr="00275C12" w14:paraId="7781ECE2" w14:textId="77777777" w:rsidTr="00F06268">
        <w:trPr>
          <w:trHeight w:val="90"/>
          <w:jc w:val="center"/>
        </w:trPr>
        <w:tc>
          <w:tcPr>
            <w:tcW w:w="3201" w:type="dxa"/>
          </w:tcPr>
          <w:p w14:paraId="455469EB"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R-squared </w:t>
            </w:r>
          </w:p>
        </w:tc>
        <w:tc>
          <w:tcPr>
            <w:tcW w:w="1701" w:type="dxa"/>
          </w:tcPr>
          <w:p w14:paraId="52703709"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0,117962 </w:t>
            </w:r>
          </w:p>
        </w:tc>
        <w:tc>
          <w:tcPr>
            <w:tcW w:w="2205" w:type="dxa"/>
          </w:tcPr>
          <w:p w14:paraId="35FC25DE"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Mean dependent var </w:t>
            </w:r>
          </w:p>
        </w:tc>
        <w:tc>
          <w:tcPr>
            <w:tcW w:w="1674" w:type="dxa"/>
          </w:tcPr>
          <w:p w14:paraId="25458812"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0,635870 </w:t>
            </w:r>
          </w:p>
        </w:tc>
      </w:tr>
      <w:tr w:rsidR="00427C26" w:rsidRPr="00275C12" w14:paraId="69B6EC91" w14:textId="77777777" w:rsidTr="00F06268">
        <w:trPr>
          <w:trHeight w:val="90"/>
          <w:jc w:val="center"/>
        </w:trPr>
        <w:tc>
          <w:tcPr>
            <w:tcW w:w="3201" w:type="dxa"/>
          </w:tcPr>
          <w:p w14:paraId="4E698BD8"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Adjusted R-squared </w:t>
            </w:r>
          </w:p>
        </w:tc>
        <w:tc>
          <w:tcPr>
            <w:tcW w:w="1701" w:type="dxa"/>
          </w:tcPr>
          <w:p w14:paraId="4226AD1E"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0,090961 </w:t>
            </w:r>
          </w:p>
        </w:tc>
        <w:tc>
          <w:tcPr>
            <w:tcW w:w="2205" w:type="dxa"/>
          </w:tcPr>
          <w:p w14:paraId="60CC34F5"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S.D. dependent var </w:t>
            </w:r>
          </w:p>
        </w:tc>
        <w:tc>
          <w:tcPr>
            <w:tcW w:w="1674" w:type="dxa"/>
          </w:tcPr>
          <w:p w14:paraId="15188BC6"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2,448324 </w:t>
            </w:r>
          </w:p>
        </w:tc>
      </w:tr>
      <w:tr w:rsidR="00427C26" w:rsidRPr="00275C12" w14:paraId="0D2BA09B" w14:textId="77777777" w:rsidTr="00F06268">
        <w:trPr>
          <w:trHeight w:val="90"/>
          <w:jc w:val="center"/>
        </w:trPr>
        <w:tc>
          <w:tcPr>
            <w:tcW w:w="3201" w:type="dxa"/>
          </w:tcPr>
          <w:p w14:paraId="299E5503"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S.E. of regression </w:t>
            </w:r>
          </w:p>
        </w:tc>
        <w:tc>
          <w:tcPr>
            <w:tcW w:w="1701" w:type="dxa"/>
          </w:tcPr>
          <w:p w14:paraId="3A3021DE"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2,334319 </w:t>
            </w:r>
          </w:p>
        </w:tc>
        <w:tc>
          <w:tcPr>
            <w:tcW w:w="2205" w:type="dxa"/>
          </w:tcPr>
          <w:p w14:paraId="639009F4"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Sum squared resid </w:t>
            </w:r>
          </w:p>
        </w:tc>
        <w:tc>
          <w:tcPr>
            <w:tcW w:w="1674" w:type="dxa"/>
          </w:tcPr>
          <w:p w14:paraId="27DABA59"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534,0065 </w:t>
            </w:r>
          </w:p>
        </w:tc>
      </w:tr>
      <w:tr w:rsidR="00427C26" w:rsidRPr="00275C12" w14:paraId="2469F1A8" w14:textId="77777777" w:rsidTr="00F06268">
        <w:trPr>
          <w:trHeight w:val="90"/>
          <w:jc w:val="center"/>
        </w:trPr>
        <w:tc>
          <w:tcPr>
            <w:tcW w:w="3201" w:type="dxa"/>
          </w:tcPr>
          <w:p w14:paraId="5DBD1D98"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F-statistic </w:t>
            </w:r>
          </w:p>
        </w:tc>
        <w:tc>
          <w:tcPr>
            <w:tcW w:w="1701" w:type="dxa"/>
          </w:tcPr>
          <w:p w14:paraId="3B252E67"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4,368765 </w:t>
            </w:r>
          </w:p>
        </w:tc>
        <w:tc>
          <w:tcPr>
            <w:tcW w:w="2205" w:type="dxa"/>
          </w:tcPr>
          <w:p w14:paraId="1C720B9F"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Durbin-Watson stat </w:t>
            </w:r>
          </w:p>
        </w:tc>
        <w:tc>
          <w:tcPr>
            <w:tcW w:w="1674" w:type="dxa"/>
          </w:tcPr>
          <w:p w14:paraId="5E34A34F"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1,570409 </w:t>
            </w:r>
          </w:p>
        </w:tc>
      </w:tr>
      <w:tr w:rsidR="00427C26" w:rsidRPr="00275C12" w14:paraId="551EDCAB" w14:textId="77777777" w:rsidTr="00F06268">
        <w:trPr>
          <w:trHeight w:val="90"/>
          <w:jc w:val="center"/>
        </w:trPr>
        <w:tc>
          <w:tcPr>
            <w:tcW w:w="4902" w:type="dxa"/>
            <w:gridSpan w:val="2"/>
          </w:tcPr>
          <w:p w14:paraId="0F687959"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Prob(F-statistic) </w:t>
            </w:r>
          </w:p>
        </w:tc>
        <w:tc>
          <w:tcPr>
            <w:tcW w:w="3879" w:type="dxa"/>
            <w:gridSpan w:val="2"/>
          </w:tcPr>
          <w:p w14:paraId="36041177"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0,006238 </w:t>
            </w:r>
          </w:p>
        </w:tc>
      </w:tr>
      <w:tr w:rsidR="00427C26" w:rsidRPr="00275C12" w14:paraId="7129F021" w14:textId="77777777" w:rsidTr="00F06268">
        <w:trPr>
          <w:trHeight w:val="90"/>
          <w:jc w:val="center"/>
        </w:trPr>
        <w:tc>
          <w:tcPr>
            <w:tcW w:w="8781" w:type="dxa"/>
            <w:gridSpan w:val="4"/>
          </w:tcPr>
          <w:p w14:paraId="1C046F2E"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rPr>
              <w:t xml:space="preserve">Unweighted statistics </w:t>
            </w:r>
          </w:p>
        </w:tc>
      </w:tr>
      <w:tr w:rsidR="00427C26" w:rsidRPr="00275C12" w14:paraId="0D287A08" w14:textId="77777777" w:rsidTr="00F06268">
        <w:trPr>
          <w:trHeight w:val="90"/>
          <w:jc w:val="center"/>
        </w:trPr>
        <w:tc>
          <w:tcPr>
            <w:tcW w:w="3201" w:type="dxa"/>
          </w:tcPr>
          <w:p w14:paraId="70EE1992"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R-squared </w:t>
            </w:r>
          </w:p>
        </w:tc>
        <w:tc>
          <w:tcPr>
            <w:tcW w:w="1701" w:type="dxa"/>
          </w:tcPr>
          <w:p w14:paraId="7957F258"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0,117962 </w:t>
            </w:r>
          </w:p>
        </w:tc>
        <w:tc>
          <w:tcPr>
            <w:tcW w:w="2205" w:type="dxa"/>
          </w:tcPr>
          <w:p w14:paraId="3DF900FF"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Mean dependent var </w:t>
            </w:r>
          </w:p>
        </w:tc>
        <w:tc>
          <w:tcPr>
            <w:tcW w:w="1674" w:type="dxa"/>
          </w:tcPr>
          <w:p w14:paraId="14A80730"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0,635870 </w:t>
            </w:r>
          </w:p>
        </w:tc>
      </w:tr>
      <w:tr w:rsidR="00427C26" w:rsidRPr="00275C12" w14:paraId="66F4B101" w14:textId="77777777" w:rsidTr="00F06268">
        <w:trPr>
          <w:trHeight w:val="90"/>
          <w:jc w:val="center"/>
        </w:trPr>
        <w:tc>
          <w:tcPr>
            <w:tcW w:w="3201" w:type="dxa"/>
          </w:tcPr>
          <w:p w14:paraId="64DE4438"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Sum squared resid </w:t>
            </w:r>
          </w:p>
        </w:tc>
        <w:tc>
          <w:tcPr>
            <w:tcW w:w="1701" w:type="dxa"/>
          </w:tcPr>
          <w:p w14:paraId="3DEC04D7"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534,0065 </w:t>
            </w:r>
          </w:p>
        </w:tc>
        <w:tc>
          <w:tcPr>
            <w:tcW w:w="2205" w:type="dxa"/>
          </w:tcPr>
          <w:p w14:paraId="2282868C" w14:textId="77777777" w:rsidR="00427C26" w:rsidRPr="00275C12" w:rsidRDefault="00427C26" w:rsidP="00427C26">
            <w:pPr>
              <w:spacing w:after="0" w:line="240" w:lineRule="auto"/>
              <w:ind w:left="-26" w:firstLine="0"/>
              <w:rPr>
                <w:rFonts w:ascii="Nirmala UI Semilight" w:hAnsi="Nirmala UI Semilight" w:cs="Nirmala UI Semilight"/>
              </w:rPr>
            </w:pPr>
            <w:r w:rsidRPr="00275C12">
              <w:rPr>
                <w:rFonts w:ascii="Nirmala UI Semilight" w:hAnsi="Nirmala UI Semilight" w:cs="Nirmala UI Semilight"/>
                <w:b/>
                <w:bCs/>
              </w:rPr>
              <w:t xml:space="preserve">Durbin-Watson stat </w:t>
            </w:r>
          </w:p>
        </w:tc>
        <w:tc>
          <w:tcPr>
            <w:tcW w:w="1674" w:type="dxa"/>
          </w:tcPr>
          <w:p w14:paraId="0470658E" w14:textId="77777777" w:rsidR="00427C26" w:rsidRPr="00275C12" w:rsidRDefault="00427C26" w:rsidP="00427C26">
            <w:pPr>
              <w:spacing w:after="0" w:line="240" w:lineRule="auto"/>
              <w:ind w:left="-26" w:firstLine="0"/>
              <w:jc w:val="right"/>
              <w:rPr>
                <w:rFonts w:ascii="Nirmala UI Semilight" w:hAnsi="Nirmala UI Semilight" w:cs="Nirmala UI Semilight"/>
              </w:rPr>
            </w:pPr>
            <w:r w:rsidRPr="00275C12">
              <w:rPr>
                <w:rFonts w:ascii="Nirmala UI Semilight" w:hAnsi="Nirmala UI Semilight" w:cs="Nirmala UI Semilight"/>
              </w:rPr>
              <w:t xml:space="preserve">1,570409 </w:t>
            </w:r>
          </w:p>
        </w:tc>
      </w:tr>
    </w:tbl>
    <w:p w14:paraId="0576A291" w14:textId="39AD32CD" w:rsidR="00CE3361" w:rsidRPr="00275C12" w:rsidRDefault="00427C26">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Researcher's Data Processing Results (2024)</w:t>
      </w:r>
    </w:p>
    <w:p w14:paraId="4EF2E57F" w14:textId="77777777" w:rsidR="00CE3361" w:rsidRPr="00275C12" w:rsidRDefault="00CE3361">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ECA964A" w14:textId="617BD0CE" w:rsidR="002B25BE" w:rsidRPr="00275C12" w:rsidRDefault="00427C26"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Selection of Panel Data Regression Model Estimation</w:t>
      </w:r>
    </w:p>
    <w:p w14:paraId="7C87F058" w14:textId="0CD7ED33" w:rsidR="002B25BE" w:rsidRPr="00275C12"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427C26" w:rsidRPr="00275C12">
        <w:rPr>
          <w:rFonts w:ascii="Nirmala UI Semilight" w:eastAsia="Times New Roman" w:hAnsi="Nirmala UI Semilight" w:cs="Nirmala UI Semilight"/>
          <w:color w:val="000000"/>
        </w:rPr>
        <w:t>Based on the three regression models above, each regression model needs to be tested with the aim of finding the most appropriate panel data regression model to estimate the desired regression equation using the chow test, hausman test and lagrange multiplier test (Basuki &amp; Prawoto, 2016: 277).</w:t>
      </w:r>
    </w:p>
    <w:p w14:paraId="087FF6DF" w14:textId="77777777" w:rsidR="002B25BE" w:rsidRPr="00275C12"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6E0DD9B" w14:textId="0251F33C" w:rsidR="00427C26" w:rsidRPr="00275C12" w:rsidRDefault="00427C26">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Chow Test</w:t>
      </w:r>
    </w:p>
    <w:p w14:paraId="6126B218" w14:textId="2A2AF1B2" w:rsidR="00427C26" w:rsidRPr="00275C12" w:rsidRDefault="00427C26">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 xml:space="preserve">The chow test is a test used to choose the best approach between the Common Effect Model (CEM) approach and the Fixed Effect Model (FEM) in estimating panel data. If the probability cross sectional Chi-square&gt; 0.05, then the model used is the common effect model, if the probability cross sectional Chi-square &lt; 0.05, then the model used is the fixed effect model. The calculation results of the Chow Test are presented in </w:t>
      </w:r>
      <w:r w:rsidR="00AC2B9F" w:rsidRPr="00275C12">
        <w:rPr>
          <w:rFonts w:ascii="Nirmala UI Semilight" w:eastAsia="Times New Roman" w:hAnsi="Nirmala UI Semilight" w:cs="Nirmala UI Semilight"/>
          <w:color w:val="000000"/>
        </w:rPr>
        <w:t xml:space="preserve">Table 9 </w:t>
      </w:r>
      <w:r w:rsidRPr="00275C12">
        <w:rPr>
          <w:rFonts w:ascii="Nirmala UI Semilight" w:eastAsia="Times New Roman" w:hAnsi="Nirmala UI Semilight" w:cs="Nirmala UI Semilight"/>
          <w:color w:val="000000"/>
        </w:rPr>
        <w:t>below:</w:t>
      </w:r>
    </w:p>
    <w:p w14:paraId="48459AE4" w14:textId="77777777" w:rsidR="00427C26" w:rsidRPr="00275C12" w:rsidRDefault="00427C26">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D4D4E3D" w14:textId="26ED4025" w:rsidR="00427C26" w:rsidRPr="00275C12" w:rsidRDefault="00427C26" w:rsidP="00427C26">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Table 9. Chow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2"/>
        <w:gridCol w:w="1776"/>
        <w:gridCol w:w="1776"/>
        <w:gridCol w:w="1776"/>
      </w:tblGrid>
      <w:tr w:rsidR="00427C26" w:rsidRPr="00275C12" w14:paraId="75691CCB" w14:textId="77777777" w:rsidTr="00F06268">
        <w:trPr>
          <w:trHeight w:val="88"/>
          <w:jc w:val="center"/>
        </w:trPr>
        <w:tc>
          <w:tcPr>
            <w:tcW w:w="2632" w:type="dxa"/>
          </w:tcPr>
          <w:p w14:paraId="277F895C" w14:textId="7E7C9284" w:rsidR="00427C26" w:rsidRPr="00275C12" w:rsidRDefault="00427C26" w:rsidP="00427C26">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Effect Test</w:t>
            </w:r>
          </w:p>
        </w:tc>
        <w:tc>
          <w:tcPr>
            <w:tcW w:w="1776" w:type="dxa"/>
          </w:tcPr>
          <w:p w14:paraId="62C544BE" w14:textId="0C0DC319" w:rsidR="00427C26" w:rsidRPr="00275C12" w:rsidRDefault="00427C26" w:rsidP="00427C26">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Statistic</w:t>
            </w:r>
          </w:p>
        </w:tc>
        <w:tc>
          <w:tcPr>
            <w:tcW w:w="1776" w:type="dxa"/>
          </w:tcPr>
          <w:p w14:paraId="44EB2150" w14:textId="0702545A" w:rsidR="00427C26" w:rsidRPr="00275C12" w:rsidRDefault="00427C26" w:rsidP="00427C26">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d.f.</w:t>
            </w:r>
          </w:p>
        </w:tc>
        <w:tc>
          <w:tcPr>
            <w:tcW w:w="1776" w:type="dxa"/>
          </w:tcPr>
          <w:p w14:paraId="0B69D04F" w14:textId="7F6AB1FF" w:rsidR="00427C26" w:rsidRPr="00275C12" w:rsidRDefault="00427C26" w:rsidP="00427C26">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Prob.</w:t>
            </w:r>
          </w:p>
        </w:tc>
      </w:tr>
      <w:tr w:rsidR="00427C26" w:rsidRPr="00275C12" w14:paraId="5FBFB297" w14:textId="77777777" w:rsidTr="00F06268">
        <w:trPr>
          <w:trHeight w:val="90"/>
          <w:jc w:val="center"/>
        </w:trPr>
        <w:tc>
          <w:tcPr>
            <w:tcW w:w="2632" w:type="dxa"/>
          </w:tcPr>
          <w:p w14:paraId="5C829D7E" w14:textId="77777777" w:rsidR="00427C26" w:rsidRPr="00275C12" w:rsidRDefault="00427C26" w:rsidP="00427C26">
            <w:pPr>
              <w:pStyle w:val="ListParagraph"/>
              <w:tabs>
                <w:tab w:val="left" w:pos="284"/>
              </w:tabs>
              <w:spacing w:after="0" w:line="240" w:lineRule="auto"/>
              <w:ind w:left="0" w:firstLine="0"/>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Cross-section Chi-square </w:t>
            </w:r>
          </w:p>
        </w:tc>
        <w:tc>
          <w:tcPr>
            <w:tcW w:w="1776" w:type="dxa"/>
          </w:tcPr>
          <w:p w14:paraId="19E0CD75" w14:textId="77777777" w:rsidR="00427C26" w:rsidRPr="00275C12" w:rsidRDefault="00427C26" w:rsidP="00427C26">
            <w:pPr>
              <w:pStyle w:val="ListParagraph"/>
              <w:tabs>
                <w:tab w:val="left" w:pos="284"/>
              </w:tabs>
              <w:spacing w:after="0" w:line="240" w:lineRule="auto"/>
              <w:ind w:left="0" w:firstLine="0"/>
              <w:jc w:val="right"/>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48,158375 </w:t>
            </w:r>
          </w:p>
        </w:tc>
        <w:tc>
          <w:tcPr>
            <w:tcW w:w="1776" w:type="dxa"/>
          </w:tcPr>
          <w:p w14:paraId="6036BD72" w14:textId="77777777" w:rsidR="00427C26" w:rsidRPr="00275C12" w:rsidRDefault="00427C26" w:rsidP="00427C26">
            <w:pPr>
              <w:pStyle w:val="ListParagraph"/>
              <w:tabs>
                <w:tab w:val="left" w:pos="284"/>
              </w:tabs>
              <w:spacing w:after="0" w:line="240" w:lineRule="auto"/>
              <w:ind w:left="0" w:firstLine="0"/>
              <w:jc w:val="right"/>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33 </w:t>
            </w:r>
          </w:p>
        </w:tc>
        <w:tc>
          <w:tcPr>
            <w:tcW w:w="1776" w:type="dxa"/>
          </w:tcPr>
          <w:p w14:paraId="2F0EA43E" w14:textId="77777777" w:rsidR="00427C26" w:rsidRPr="00275C12" w:rsidRDefault="00427C26" w:rsidP="00427C26">
            <w:pPr>
              <w:pStyle w:val="ListParagraph"/>
              <w:tabs>
                <w:tab w:val="left" w:pos="284"/>
              </w:tabs>
              <w:spacing w:after="0" w:line="240" w:lineRule="auto"/>
              <w:ind w:left="0" w:firstLine="0"/>
              <w:jc w:val="right"/>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0,0429 </w:t>
            </w:r>
          </w:p>
        </w:tc>
      </w:tr>
    </w:tbl>
    <w:p w14:paraId="59024F19" w14:textId="77777777" w:rsidR="00427C26" w:rsidRPr="00275C12" w:rsidRDefault="00427C26" w:rsidP="00F06268">
      <w:pPr>
        <w:pStyle w:val="ListParagraph"/>
        <w:tabs>
          <w:tab w:val="left" w:pos="284"/>
        </w:tabs>
        <w:spacing w:after="120" w:line="240" w:lineRule="auto"/>
        <w:ind w:left="426"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46B54EE0" w14:textId="77777777" w:rsidR="00427C26" w:rsidRPr="00275C12" w:rsidRDefault="00427C26">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011C928" w14:textId="4883ED92" w:rsidR="00427C26"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Based on this test, it shows that the Probability Cross-section Chi-square value is 0.0429, whose value is &lt;0.05, so the selected model is the Fixed Effect Model (FEM).</w:t>
      </w:r>
    </w:p>
    <w:p w14:paraId="600B6772" w14:textId="77777777" w:rsidR="00427C26" w:rsidRPr="00275C12" w:rsidRDefault="00427C26">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94C1583" w14:textId="06E4A8F3"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Hausman Test</w:t>
      </w:r>
    </w:p>
    <w:p w14:paraId="295E512C" w14:textId="7396E5D8"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Testing the Lagrange Multiplier test does not need to be done because the two previous tests, namely the chow test and the Hausman test, obtained the same results, namely the fixed effect model (FEM), while the Lagrange multiplier test tests between the common effect model and the random effect model. The following is a table of panel data regression model selection test results:</w:t>
      </w:r>
    </w:p>
    <w:p w14:paraId="5D36B4D8" w14:textId="77777777"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63DF7FB" w14:textId="6D48802A" w:rsidR="00AC2B9F" w:rsidRPr="00275C12" w:rsidRDefault="00AC2B9F" w:rsidP="002571B0">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Table 10. Hausman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794"/>
        <w:gridCol w:w="1794"/>
        <w:gridCol w:w="1794"/>
      </w:tblGrid>
      <w:tr w:rsidR="00AC2B9F" w:rsidRPr="00275C12" w14:paraId="5B255D2A" w14:textId="77777777" w:rsidTr="00C15A45">
        <w:trPr>
          <w:trHeight w:val="88"/>
          <w:jc w:val="center"/>
        </w:trPr>
        <w:tc>
          <w:tcPr>
            <w:tcW w:w="2508" w:type="dxa"/>
          </w:tcPr>
          <w:p w14:paraId="66EE60F4" w14:textId="4B412A95" w:rsidR="00AC2B9F" w:rsidRPr="00275C12" w:rsidRDefault="00AC2B9F" w:rsidP="00AC2B9F">
            <w:pPr>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lastRenderedPageBreak/>
              <w:t>Test Summary</w:t>
            </w:r>
          </w:p>
        </w:tc>
        <w:tc>
          <w:tcPr>
            <w:tcW w:w="1794" w:type="dxa"/>
          </w:tcPr>
          <w:p w14:paraId="620A69F3" w14:textId="68F1F6D0" w:rsidR="00AC2B9F" w:rsidRPr="00275C12" w:rsidRDefault="00AC2B9F" w:rsidP="00AC2B9F">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Chi-Sq. Statistic</w:t>
            </w:r>
          </w:p>
        </w:tc>
        <w:tc>
          <w:tcPr>
            <w:tcW w:w="1794" w:type="dxa"/>
          </w:tcPr>
          <w:p w14:paraId="448F6C0A" w14:textId="259682E0" w:rsidR="00AC2B9F" w:rsidRPr="00275C12" w:rsidRDefault="00AC2B9F" w:rsidP="00AC2B9F">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Chi-Sq. d.f.</w:t>
            </w:r>
          </w:p>
        </w:tc>
        <w:tc>
          <w:tcPr>
            <w:tcW w:w="1794" w:type="dxa"/>
          </w:tcPr>
          <w:p w14:paraId="4D309087" w14:textId="1A2781C7" w:rsidR="00AC2B9F" w:rsidRPr="00275C12" w:rsidRDefault="00AC2B9F" w:rsidP="00AC2B9F">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Prob.</w:t>
            </w:r>
          </w:p>
        </w:tc>
      </w:tr>
      <w:tr w:rsidR="00AC2B9F" w:rsidRPr="00275C12" w14:paraId="078766DF" w14:textId="77777777" w:rsidTr="00C15A45">
        <w:trPr>
          <w:trHeight w:val="90"/>
          <w:jc w:val="center"/>
        </w:trPr>
        <w:tc>
          <w:tcPr>
            <w:tcW w:w="2508" w:type="dxa"/>
          </w:tcPr>
          <w:p w14:paraId="4373F118" w14:textId="77777777" w:rsidR="00AC2B9F" w:rsidRPr="00275C12" w:rsidRDefault="00AC2B9F" w:rsidP="00AC2B9F">
            <w:pPr>
              <w:pStyle w:val="ListParagraph"/>
              <w:tabs>
                <w:tab w:val="left" w:pos="284"/>
              </w:tabs>
              <w:spacing w:after="0" w:line="240" w:lineRule="auto"/>
              <w:ind w:left="116" w:firstLine="0"/>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Cross-section random </w:t>
            </w:r>
          </w:p>
        </w:tc>
        <w:tc>
          <w:tcPr>
            <w:tcW w:w="1794" w:type="dxa"/>
          </w:tcPr>
          <w:p w14:paraId="51F50194" w14:textId="77777777" w:rsidR="00AC2B9F" w:rsidRPr="00275C12" w:rsidRDefault="00AC2B9F" w:rsidP="00AC2B9F">
            <w:pPr>
              <w:pStyle w:val="ListParagraph"/>
              <w:tabs>
                <w:tab w:val="left" w:pos="284"/>
              </w:tabs>
              <w:spacing w:after="0" w:line="240" w:lineRule="auto"/>
              <w:ind w:left="116" w:firstLine="0"/>
              <w:jc w:val="right"/>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9,359679 </w:t>
            </w:r>
          </w:p>
        </w:tc>
        <w:tc>
          <w:tcPr>
            <w:tcW w:w="1794" w:type="dxa"/>
          </w:tcPr>
          <w:p w14:paraId="3F4A7F21" w14:textId="77777777" w:rsidR="00AC2B9F" w:rsidRPr="00275C12" w:rsidRDefault="00AC2B9F" w:rsidP="00AC2B9F">
            <w:pPr>
              <w:pStyle w:val="ListParagraph"/>
              <w:tabs>
                <w:tab w:val="left" w:pos="284"/>
              </w:tabs>
              <w:spacing w:after="0" w:line="240" w:lineRule="auto"/>
              <w:ind w:left="116" w:firstLine="0"/>
              <w:jc w:val="right"/>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3 </w:t>
            </w:r>
          </w:p>
        </w:tc>
        <w:tc>
          <w:tcPr>
            <w:tcW w:w="1794" w:type="dxa"/>
          </w:tcPr>
          <w:p w14:paraId="27FBF233" w14:textId="77777777" w:rsidR="00AC2B9F" w:rsidRPr="00275C12" w:rsidRDefault="00AC2B9F" w:rsidP="00AC2B9F">
            <w:pPr>
              <w:pStyle w:val="ListParagraph"/>
              <w:tabs>
                <w:tab w:val="left" w:pos="284"/>
              </w:tabs>
              <w:spacing w:after="0" w:line="240" w:lineRule="auto"/>
              <w:ind w:left="116" w:firstLine="0"/>
              <w:jc w:val="right"/>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0,0249 </w:t>
            </w:r>
          </w:p>
        </w:tc>
      </w:tr>
    </w:tbl>
    <w:p w14:paraId="1662F75D" w14:textId="77777777" w:rsidR="00AC2B9F" w:rsidRPr="00275C12" w:rsidRDefault="00AC2B9F" w:rsidP="00C15A45">
      <w:pPr>
        <w:tabs>
          <w:tab w:val="left" w:pos="284"/>
        </w:tabs>
        <w:spacing w:after="120" w:line="240" w:lineRule="auto"/>
        <w:ind w:left="426"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15434D91" w14:textId="77777777"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5BA529E" w14:textId="27B78CF9" w:rsidR="00AC2B9F" w:rsidRPr="00275C12" w:rsidRDefault="00C15A45">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AC2B9F" w:rsidRPr="00275C12">
        <w:rPr>
          <w:rFonts w:ascii="Nirmala UI Semilight" w:eastAsia="Times New Roman" w:hAnsi="Nirmala UI Semilight" w:cs="Nirmala UI Semilight"/>
          <w:color w:val="000000"/>
        </w:rPr>
        <w:t>Based on the test in Table 10, it shows that the random cross-section probability value is 0.0249 whose value is &lt;0.05, so the selected model is the Fixed Effect Model (FEM).</w:t>
      </w:r>
    </w:p>
    <w:p w14:paraId="3D61F80B" w14:textId="77777777"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94E182F" w14:textId="3B97D723"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Lagrange Multiplier Test</w:t>
      </w:r>
    </w:p>
    <w:p w14:paraId="1A4461FF" w14:textId="046DB650"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 xml:space="preserve">Testing the Lagrange Multiplier test does not need to be done because the two previous tests, namely the chow test and the hausman test, obtained the same results, namely the fixed effect model (FEM), while the Lagrange multiplier test tests between the common effect model and the random effect model. The following are the results of the panel data regression model selection test </w:t>
      </w:r>
      <w:r w:rsidR="007A67E4" w:rsidRPr="00275C12">
        <w:rPr>
          <w:rFonts w:ascii="Nirmala UI Semilight" w:eastAsia="Times New Roman" w:hAnsi="Nirmala UI Semilight" w:cs="Nirmala UI Semilight"/>
          <w:color w:val="000000"/>
        </w:rPr>
        <w:t>presented in Table 11</w:t>
      </w:r>
      <w:r w:rsidRPr="00275C12">
        <w:rPr>
          <w:rFonts w:ascii="Nirmala UI Semilight" w:eastAsia="Times New Roman" w:hAnsi="Nirmala UI Semilight" w:cs="Nirmala UI Semilight"/>
          <w:color w:val="000000"/>
        </w:rPr>
        <w:t>:</w:t>
      </w:r>
    </w:p>
    <w:p w14:paraId="0936EB91" w14:textId="77777777"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5A1276E" w14:textId="3BA5F92C" w:rsidR="007A67E4" w:rsidRPr="00275C12" w:rsidRDefault="007A67E4" w:rsidP="007A67E4">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Table </w:t>
      </w:r>
      <w:r w:rsidR="002571B0" w:rsidRPr="00275C12">
        <w:rPr>
          <w:rFonts w:ascii="Nirmala UI Semilight" w:eastAsia="Times New Roman" w:hAnsi="Nirmala UI Semilight" w:cs="Nirmala UI Semilight"/>
          <w:color w:val="000000"/>
        </w:rPr>
        <w:t>11</w:t>
      </w:r>
      <w:r w:rsidRPr="00275C12">
        <w:rPr>
          <w:rFonts w:ascii="Nirmala UI Semilight" w:eastAsia="Times New Roman" w:hAnsi="Nirmala UI Semilight" w:cs="Nirmala UI Semilight"/>
          <w:color w:val="000000"/>
        </w:rPr>
        <w:t>. Panel Data Regression Model Selection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0"/>
        <w:gridCol w:w="3217"/>
        <w:gridCol w:w="2399"/>
      </w:tblGrid>
      <w:tr w:rsidR="007A67E4" w:rsidRPr="00275C12" w14:paraId="1A07CB4D" w14:textId="77777777" w:rsidTr="001A0C2F">
        <w:trPr>
          <w:trHeight w:val="88"/>
          <w:jc w:val="center"/>
        </w:trPr>
        <w:tc>
          <w:tcPr>
            <w:tcW w:w="2350" w:type="dxa"/>
          </w:tcPr>
          <w:p w14:paraId="10C2243A" w14:textId="44A7C5ED" w:rsidR="007A67E4" w:rsidRPr="00275C12" w:rsidRDefault="007A67E4" w:rsidP="007A67E4">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Method</w:t>
            </w:r>
          </w:p>
        </w:tc>
        <w:tc>
          <w:tcPr>
            <w:tcW w:w="3217" w:type="dxa"/>
          </w:tcPr>
          <w:p w14:paraId="02F47AF3" w14:textId="7360FD52" w:rsidR="007A67E4" w:rsidRPr="00275C12" w:rsidRDefault="007A67E4" w:rsidP="007A67E4">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Testing</w:t>
            </w:r>
          </w:p>
        </w:tc>
        <w:tc>
          <w:tcPr>
            <w:tcW w:w="2399" w:type="dxa"/>
          </w:tcPr>
          <w:p w14:paraId="781D6064" w14:textId="6AE32607" w:rsidR="007A67E4" w:rsidRPr="00275C12" w:rsidRDefault="007A67E4" w:rsidP="007A67E4">
            <w:pPr>
              <w:pStyle w:val="ListParagraph"/>
              <w:tabs>
                <w:tab w:val="left" w:pos="284"/>
              </w:tabs>
              <w:spacing w:after="0" w:line="240" w:lineRule="auto"/>
              <w:ind w:left="-168" w:firstLine="0"/>
              <w:jc w:val="center"/>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b/>
                <w:bCs/>
                <w:color w:val="000000"/>
                <w:lang w:val="en-ID"/>
              </w:rPr>
              <w:t>Result</w:t>
            </w:r>
          </w:p>
        </w:tc>
      </w:tr>
      <w:tr w:rsidR="007A67E4" w:rsidRPr="00275C12" w14:paraId="1F7CC11D" w14:textId="77777777" w:rsidTr="001A0C2F">
        <w:trPr>
          <w:trHeight w:val="90"/>
          <w:jc w:val="center"/>
        </w:trPr>
        <w:tc>
          <w:tcPr>
            <w:tcW w:w="2350" w:type="dxa"/>
          </w:tcPr>
          <w:p w14:paraId="380F13D4" w14:textId="77777777" w:rsidR="007A67E4" w:rsidRPr="00275C12" w:rsidRDefault="007A67E4" w:rsidP="007A67E4">
            <w:pPr>
              <w:pStyle w:val="ListParagraph"/>
              <w:tabs>
                <w:tab w:val="left" w:pos="284"/>
              </w:tabs>
              <w:spacing w:after="0" w:line="240" w:lineRule="auto"/>
              <w:ind w:left="0" w:firstLine="0"/>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Chow Test </w:t>
            </w:r>
          </w:p>
        </w:tc>
        <w:tc>
          <w:tcPr>
            <w:tcW w:w="3217" w:type="dxa"/>
          </w:tcPr>
          <w:p w14:paraId="3578711A" w14:textId="77777777" w:rsidR="007A67E4" w:rsidRPr="00275C12" w:rsidRDefault="007A67E4" w:rsidP="007A67E4">
            <w:pPr>
              <w:pStyle w:val="ListParagraph"/>
              <w:tabs>
                <w:tab w:val="left" w:pos="284"/>
              </w:tabs>
              <w:spacing w:after="0" w:line="240" w:lineRule="auto"/>
              <w:ind w:left="0" w:firstLine="0"/>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Common Effect vs Fixed Effect </w:t>
            </w:r>
          </w:p>
        </w:tc>
        <w:tc>
          <w:tcPr>
            <w:tcW w:w="2399" w:type="dxa"/>
          </w:tcPr>
          <w:p w14:paraId="6897B80D" w14:textId="77777777" w:rsidR="007A67E4" w:rsidRPr="00275C12" w:rsidRDefault="007A67E4" w:rsidP="007A67E4">
            <w:pPr>
              <w:pStyle w:val="ListParagraph"/>
              <w:tabs>
                <w:tab w:val="left" w:pos="284"/>
              </w:tabs>
              <w:spacing w:after="0" w:line="240" w:lineRule="auto"/>
              <w:ind w:left="0" w:firstLine="0"/>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Fixed Effect Model </w:t>
            </w:r>
          </w:p>
        </w:tc>
      </w:tr>
      <w:tr w:rsidR="007A67E4" w:rsidRPr="00275C12" w14:paraId="32AD1FD9" w14:textId="77777777" w:rsidTr="001A0C2F">
        <w:trPr>
          <w:trHeight w:val="90"/>
          <w:jc w:val="center"/>
        </w:trPr>
        <w:tc>
          <w:tcPr>
            <w:tcW w:w="2350" w:type="dxa"/>
          </w:tcPr>
          <w:p w14:paraId="100928B7" w14:textId="77777777" w:rsidR="007A67E4" w:rsidRPr="00275C12" w:rsidRDefault="007A67E4" w:rsidP="007A67E4">
            <w:pPr>
              <w:pStyle w:val="ListParagraph"/>
              <w:tabs>
                <w:tab w:val="left" w:pos="284"/>
              </w:tabs>
              <w:spacing w:after="0" w:line="240" w:lineRule="auto"/>
              <w:ind w:left="0" w:firstLine="0"/>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Hausman Test </w:t>
            </w:r>
          </w:p>
        </w:tc>
        <w:tc>
          <w:tcPr>
            <w:tcW w:w="3217" w:type="dxa"/>
          </w:tcPr>
          <w:p w14:paraId="4A6BAA47" w14:textId="77777777" w:rsidR="007A67E4" w:rsidRPr="00275C12" w:rsidRDefault="007A67E4" w:rsidP="007A67E4">
            <w:pPr>
              <w:pStyle w:val="ListParagraph"/>
              <w:tabs>
                <w:tab w:val="left" w:pos="284"/>
              </w:tabs>
              <w:spacing w:after="0" w:line="240" w:lineRule="auto"/>
              <w:ind w:left="0" w:firstLine="0"/>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Random Effect vs Fixed Effect </w:t>
            </w:r>
          </w:p>
        </w:tc>
        <w:tc>
          <w:tcPr>
            <w:tcW w:w="2399" w:type="dxa"/>
          </w:tcPr>
          <w:p w14:paraId="1F704FAB" w14:textId="77777777" w:rsidR="007A67E4" w:rsidRPr="00275C12" w:rsidRDefault="007A67E4" w:rsidP="007A67E4">
            <w:pPr>
              <w:pStyle w:val="ListParagraph"/>
              <w:tabs>
                <w:tab w:val="left" w:pos="284"/>
              </w:tabs>
              <w:spacing w:after="0" w:line="240" w:lineRule="auto"/>
              <w:ind w:left="0" w:firstLine="0"/>
              <w:rPr>
                <w:rFonts w:ascii="Nirmala UI Semilight" w:eastAsia="Times New Roman" w:hAnsi="Nirmala UI Semilight" w:cs="Nirmala UI Semilight"/>
                <w:color w:val="000000"/>
                <w:lang w:val="en-ID"/>
              </w:rPr>
            </w:pPr>
            <w:r w:rsidRPr="00275C12">
              <w:rPr>
                <w:rFonts w:ascii="Nirmala UI Semilight" w:eastAsia="Times New Roman" w:hAnsi="Nirmala UI Semilight" w:cs="Nirmala UI Semilight"/>
                <w:color w:val="000000"/>
                <w:lang w:val="en-ID"/>
              </w:rPr>
              <w:t xml:space="preserve">Fixed Effect Model </w:t>
            </w:r>
          </w:p>
        </w:tc>
      </w:tr>
    </w:tbl>
    <w:p w14:paraId="44FEC7E5" w14:textId="25356F47" w:rsidR="007A67E4" w:rsidRPr="00275C12" w:rsidRDefault="007A67E4" w:rsidP="007A67E4">
      <w:pPr>
        <w:tabs>
          <w:tab w:val="left" w:pos="284"/>
        </w:tabs>
        <w:spacing w:after="120" w:line="240" w:lineRule="auto"/>
        <w:ind w:left="426"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Results of Researcher Data Processing (2024)</w:t>
      </w:r>
    </w:p>
    <w:p w14:paraId="31D08875" w14:textId="77777777" w:rsidR="00AC2B9F" w:rsidRPr="00275C12" w:rsidRDefault="00AC2B9F">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BB3B1A3" w14:textId="19B40DCE" w:rsidR="002B25BE" w:rsidRPr="00275C12" w:rsidRDefault="002571B0"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 xml:space="preserve">Heteroscedasticity </w:t>
      </w:r>
      <w:r w:rsidR="002B25BE" w:rsidRPr="00275C12">
        <w:rPr>
          <w:rFonts w:ascii="Nirmala UI Semilight" w:eastAsia="Times New Roman" w:hAnsi="Nirmala UI Semilight" w:cs="Nirmala UI Semilight"/>
          <w:i/>
          <w:iCs/>
          <w:color w:val="auto"/>
          <w:sz w:val="22"/>
          <w:szCs w:val="22"/>
        </w:rPr>
        <w:t>Test</w:t>
      </w:r>
    </w:p>
    <w:p w14:paraId="77B2A0F0" w14:textId="20492E89" w:rsidR="002B25BE" w:rsidRPr="00275C12"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2571B0" w:rsidRPr="00275C12">
        <w:rPr>
          <w:rFonts w:ascii="Nirmala UI Semilight" w:eastAsia="Times New Roman" w:hAnsi="Nirmala UI Semilight" w:cs="Nirmala UI Semilight"/>
          <w:color w:val="000000"/>
        </w:rPr>
        <w:t xml:space="preserve">The heteroscedasticity test aims to test whether there is an inequality of variation from the residuals in the regression model. The criteria used to determine whether heteroscedasticity is not indicated is if the graph shows the residual value is below the limit (500 and -500). The following are the results of the heteroscedasticity test conducted in this study </w:t>
      </w:r>
      <w:r w:rsidR="00AD04F5" w:rsidRPr="00275C12">
        <w:rPr>
          <w:rFonts w:ascii="Nirmala UI Semilight" w:eastAsia="Times New Roman" w:hAnsi="Nirmala UI Semilight" w:cs="Nirmala UI Semilight"/>
          <w:color w:val="000000"/>
        </w:rPr>
        <w:t xml:space="preserve">and are presented in Figure </w:t>
      </w:r>
      <w:r w:rsidR="001D3976" w:rsidRPr="00275C12">
        <w:rPr>
          <w:rFonts w:ascii="Nirmala UI Semilight" w:eastAsia="Times New Roman" w:hAnsi="Nirmala UI Semilight" w:cs="Nirmala UI Semilight"/>
          <w:color w:val="000000"/>
        </w:rPr>
        <w:t>2</w:t>
      </w:r>
      <w:r w:rsidR="002571B0" w:rsidRPr="00275C12">
        <w:rPr>
          <w:rFonts w:ascii="Nirmala UI Semilight" w:eastAsia="Times New Roman" w:hAnsi="Nirmala UI Semilight" w:cs="Nirmala UI Semilight"/>
          <w:color w:val="000000"/>
        </w:rPr>
        <w:t>:</w:t>
      </w:r>
    </w:p>
    <w:p w14:paraId="0392ABC4" w14:textId="77777777" w:rsidR="002B25BE" w:rsidRPr="00275C12"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238D661" w14:textId="0C2E4B8D" w:rsidR="001D3976" w:rsidRPr="00275C12" w:rsidRDefault="001D3976" w:rsidP="001D3976">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275C12">
        <w:rPr>
          <w:rFonts w:ascii="Nirmala UI Semilight" w:hAnsi="Nirmala UI Semilight" w:cs="Nirmala UI Semilight"/>
          <w:noProof/>
        </w:rPr>
        <w:drawing>
          <wp:inline distT="0" distB="0" distL="0" distR="0" wp14:anchorId="33C67B33" wp14:editId="65D1BC9D">
            <wp:extent cx="3857930" cy="2219039"/>
            <wp:effectExtent l="0" t="0" r="0" b="0"/>
            <wp:docPr id="334050268" name="Picture 1" descr="A graph showing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0268" name="Picture 1" descr="A graph showing a number of data&#10;&#10;AI-generated content may be incorrect."/>
                    <pic:cNvPicPr/>
                  </pic:nvPicPr>
                  <pic:blipFill>
                    <a:blip r:embed="rId8"/>
                    <a:stretch>
                      <a:fillRect/>
                    </a:stretch>
                  </pic:blipFill>
                  <pic:spPr>
                    <a:xfrm>
                      <a:off x="0" y="0"/>
                      <a:ext cx="3866977" cy="2224243"/>
                    </a:xfrm>
                    <a:prstGeom prst="rect">
                      <a:avLst/>
                    </a:prstGeom>
                  </pic:spPr>
                </pic:pic>
              </a:graphicData>
            </a:graphic>
          </wp:inline>
        </w:drawing>
      </w:r>
    </w:p>
    <w:p w14:paraId="77F480FB" w14:textId="570840C2" w:rsidR="001D3976" w:rsidRPr="00275C12" w:rsidRDefault="001D3976" w:rsidP="001D3976">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Figure 2. Heteroscedasticity Test Results</w:t>
      </w:r>
    </w:p>
    <w:p w14:paraId="2F4D188D" w14:textId="4991E0C1" w:rsidR="002B25BE" w:rsidRPr="00275C12" w:rsidRDefault="00E569BB" w:rsidP="001D3976">
      <w:pPr>
        <w:tabs>
          <w:tab w:val="left" w:pos="284"/>
        </w:tabs>
        <w:spacing w:after="12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Source: </w:t>
      </w:r>
      <w:r w:rsidR="001D3976" w:rsidRPr="00275C12">
        <w:rPr>
          <w:rFonts w:ascii="Nirmala UI Semilight" w:eastAsia="Times New Roman" w:hAnsi="Nirmala UI Semilight" w:cs="Nirmala UI Semilight"/>
          <w:color w:val="000000"/>
        </w:rPr>
        <w:t>Eviews 12 Output, Researcher Data Processing Results (2024)</w:t>
      </w:r>
    </w:p>
    <w:p w14:paraId="0914FB67" w14:textId="77777777" w:rsidR="002B25BE" w:rsidRPr="00275C12"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350148B" w14:textId="2E6ACCDA" w:rsidR="00E569BB" w:rsidRPr="00275C12" w:rsidRDefault="00E569B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lastRenderedPageBreak/>
        <w:tab/>
      </w:r>
      <w:r w:rsidR="001D3976" w:rsidRPr="00275C12">
        <w:rPr>
          <w:rFonts w:ascii="Nirmala UI Semilight" w:eastAsia="Times New Roman" w:hAnsi="Nirmala UI Semilight" w:cs="Nirmala UI Semilight"/>
          <w:color w:val="000000"/>
        </w:rPr>
        <w:t xml:space="preserve">Based on the graph in Figure 2 above, it can be seen that all variables used in this study have a residual Y value below the limit (500 </w:t>
      </w:r>
      <w:r w:rsidR="001D3976" w:rsidRPr="00275C12">
        <w:rPr>
          <w:rFonts w:ascii="Nirmala UI Semilight" w:eastAsia="Times New Roman" w:hAnsi="Nirmala UI Semilight" w:cs="Nirmala UI Semilight"/>
          <w:color w:val="000000"/>
          <w:lang w:val="en-ID"/>
        </w:rPr>
        <w:t>and -500). Thus, it can be concluded that all variables used in this study do not have heteroscedasticity problems.</w:t>
      </w:r>
    </w:p>
    <w:p w14:paraId="07215A03" w14:textId="77777777" w:rsidR="002B25BE" w:rsidRPr="00275C12"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8807021" w14:textId="62FCEBA1" w:rsidR="00E569BB" w:rsidRPr="00275C12" w:rsidRDefault="005144F0" w:rsidP="00E569BB">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 xml:space="preserve">Multicollinearity </w:t>
      </w:r>
      <w:r w:rsidR="00E569BB" w:rsidRPr="00275C12">
        <w:rPr>
          <w:rFonts w:ascii="Nirmala UI Semilight" w:eastAsia="Times New Roman" w:hAnsi="Nirmala UI Semilight" w:cs="Nirmala UI Semilight"/>
          <w:i/>
          <w:iCs/>
          <w:color w:val="auto"/>
          <w:sz w:val="22"/>
          <w:szCs w:val="22"/>
        </w:rPr>
        <w:t>Test</w:t>
      </w:r>
    </w:p>
    <w:p w14:paraId="39F83E78" w14:textId="39C60F15" w:rsidR="00E569BB" w:rsidRPr="00275C12" w:rsidRDefault="00E569BB" w:rsidP="00E569B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5144F0" w:rsidRPr="00275C12">
        <w:rPr>
          <w:rFonts w:ascii="Nirmala UI Semilight" w:eastAsia="Times New Roman" w:hAnsi="Nirmala UI Semilight" w:cs="Nirmala UI Semilight"/>
          <w:color w:val="000000"/>
        </w:rPr>
        <w:t>Multicollinearity test is used to test whether there is a correlation between the independent variables in the regression model. The requirement for a regression model to be said to not occur multicolonierity is when the correlation value of each independent variable &lt;0.80. The following are the results of the multicollinearity test in Table 12 in this study:</w:t>
      </w:r>
    </w:p>
    <w:p w14:paraId="7D45CCE9" w14:textId="77777777" w:rsidR="00E569BB" w:rsidRPr="00275C12"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1F84557" w14:textId="584228EE" w:rsidR="00FB11F8" w:rsidRPr="00275C12" w:rsidRDefault="00E569BB" w:rsidP="00FB11F8">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Table </w:t>
      </w:r>
      <w:r w:rsidR="00FB11F8" w:rsidRPr="00275C12">
        <w:rPr>
          <w:rFonts w:ascii="Nirmala UI Semilight" w:eastAsia="Times New Roman" w:hAnsi="Nirmala UI Semilight" w:cs="Nirmala UI Semilight"/>
          <w:color w:val="000000"/>
        </w:rPr>
        <w:t>12</w:t>
      </w:r>
      <w:r w:rsidRPr="00275C12">
        <w:rPr>
          <w:rFonts w:ascii="Nirmala UI Semilight" w:eastAsia="Times New Roman" w:hAnsi="Nirmala UI Semilight" w:cs="Nirmala UI Semilight"/>
          <w:color w:val="000000"/>
        </w:rPr>
        <w:t xml:space="preserve">. </w:t>
      </w:r>
      <w:r w:rsidR="00FB11F8" w:rsidRPr="00275C12">
        <w:rPr>
          <w:rFonts w:ascii="Nirmala UI Semilight" w:eastAsia="Times New Roman" w:hAnsi="Nirmala UI Semilight" w:cs="Nirmala UI Semilight"/>
          <w:color w:val="000000"/>
        </w:rPr>
        <w:t xml:space="preserve">Multicollinearity Test </w:t>
      </w:r>
      <w:r w:rsidRPr="00275C12">
        <w:rPr>
          <w:rFonts w:ascii="Nirmala UI Semilight" w:eastAsia="Times New Roman" w:hAnsi="Nirmala UI Semilight" w:cs="Nirmala UI Semilight"/>
          <w:color w:val="000000"/>
        </w:rPr>
        <w:t>Results</w:t>
      </w:r>
    </w:p>
    <w:tbl>
      <w:tblPr>
        <w:tblStyle w:val="TableGrid"/>
        <w:tblW w:w="0" w:type="auto"/>
        <w:jc w:val="center"/>
        <w:tblLook w:val="04A0" w:firstRow="1" w:lastRow="0" w:firstColumn="1" w:lastColumn="0" w:noHBand="0" w:noVBand="1"/>
      </w:tblPr>
      <w:tblGrid>
        <w:gridCol w:w="2122"/>
        <w:gridCol w:w="1701"/>
        <w:gridCol w:w="1984"/>
        <w:gridCol w:w="1841"/>
      </w:tblGrid>
      <w:tr w:rsidR="00FB11F8" w:rsidRPr="00275C12" w14:paraId="3523EC4C" w14:textId="77777777" w:rsidTr="00FB11F8">
        <w:trPr>
          <w:jc w:val="center"/>
        </w:trPr>
        <w:tc>
          <w:tcPr>
            <w:tcW w:w="2122" w:type="dxa"/>
          </w:tcPr>
          <w:p w14:paraId="12FB7E3A" w14:textId="77777777" w:rsidR="00FB11F8" w:rsidRPr="00275C12" w:rsidRDefault="00FB11F8" w:rsidP="00FB11F8">
            <w:pPr>
              <w:pStyle w:val="ListParagraph"/>
              <w:tabs>
                <w:tab w:val="left" w:pos="284"/>
              </w:tabs>
              <w:ind w:left="0" w:firstLine="0"/>
              <w:jc w:val="center"/>
              <w:rPr>
                <w:rFonts w:ascii="Nirmala UI Semilight" w:eastAsia="Times New Roman" w:hAnsi="Nirmala UI Semilight" w:cs="Nirmala UI Semilight"/>
                <w:color w:val="000000"/>
              </w:rPr>
            </w:pPr>
          </w:p>
        </w:tc>
        <w:tc>
          <w:tcPr>
            <w:tcW w:w="1701" w:type="dxa"/>
          </w:tcPr>
          <w:p w14:paraId="55262EF7" w14:textId="65273C93" w:rsidR="00FB11F8" w:rsidRPr="00275C12" w:rsidRDefault="00FB11F8" w:rsidP="00FB11F8">
            <w:pPr>
              <w:pStyle w:val="ListParagraph"/>
              <w:tabs>
                <w:tab w:val="left" w:pos="284"/>
              </w:tabs>
              <w:ind w:left="0" w:firstLine="0"/>
              <w:jc w:val="center"/>
              <w:rPr>
                <w:rFonts w:ascii="Nirmala UI Semilight" w:eastAsia="Times New Roman" w:hAnsi="Nirmala UI Semilight" w:cs="Nirmala UI Semilight"/>
                <w:color w:val="000000"/>
              </w:rPr>
            </w:pPr>
            <w:r w:rsidRPr="00275C12">
              <w:rPr>
                <w:rFonts w:ascii="Nirmala UI Semilight" w:hAnsi="Nirmala UI Semilight" w:cs="Nirmala UI Semilight"/>
              </w:rPr>
              <w:t>CEO Tenure</w:t>
            </w:r>
          </w:p>
        </w:tc>
        <w:tc>
          <w:tcPr>
            <w:tcW w:w="1984" w:type="dxa"/>
          </w:tcPr>
          <w:p w14:paraId="34E4A6E7" w14:textId="2D4BAD2B" w:rsidR="00FB11F8" w:rsidRPr="00275C12" w:rsidRDefault="00FB11F8" w:rsidP="00FB11F8">
            <w:pPr>
              <w:pStyle w:val="ListParagraph"/>
              <w:tabs>
                <w:tab w:val="left" w:pos="284"/>
              </w:tabs>
              <w:ind w:left="0" w:firstLine="0"/>
              <w:jc w:val="center"/>
              <w:rPr>
                <w:rFonts w:ascii="Nirmala UI Semilight" w:eastAsia="Times New Roman" w:hAnsi="Nirmala UI Semilight" w:cs="Nirmala UI Semilight"/>
                <w:color w:val="000000"/>
              </w:rPr>
            </w:pPr>
            <w:r w:rsidRPr="00275C12">
              <w:rPr>
                <w:rFonts w:ascii="Nirmala UI Semilight" w:hAnsi="Nirmala UI Semilight" w:cs="Nirmala UI Semilight"/>
              </w:rPr>
              <w:t>Financial Distress</w:t>
            </w:r>
          </w:p>
        </w:tc>
        <w:tc>
          <w:tcPr>
            <w:tcW w:w="1841" w:type="dxa"/>
          </w:tcPr>
          <w:p w14:paraId="42E3B858" w14:textId="4B3F1553" w:rsidR="00FB11F8" w:rsidRPr="00275C12" w:rsidRDefault="00FB11F8" w:rsidP="00FB11F8">
            <w:pPr>
              <w:pStyle w:val="ListParagraph"/>
              <w:tabs>
                <w:tab w:val="left" w:pos="284"/>
              </w:tabs>
              <w:ind w:left="0" w:firstLine="0"/>
              <w:jc w:val="center"/>
              <w:rPr>
                <w:rFonts w:ascii="Nirmala UI Semilight" w:eastAsia="Times New Roman" w:hAnsi="Nirmala UI Semilight" w:cs="Nirmala UI Semilight"/>
                <w:color w:val="000000"/>
              </w:rPr>
            </w:pPr>
            <w:r w:rsidRPr="00275C12">
              <w:rPr>
                <w:rFonts w:ascii="Nirmala UI Semilight" w:hAnsi="Nirmala UI Semilight" w:cs="Nirmala UI Semilight"/>
              </w:rPr>
              <w:t>Sales Growth</w:t>
            </w:r>
          </w:p>
        </w:tc>
      </w:tr>
      <w:tr w:rsidR="00FB11F8" w:rsidRPr="00275C12" w14:paraId="0B069C8C" w14:textId="77777777" w:rsidTr="00FB11F8">
        <w:trPr>
          <w:jc w:val="center"/>
        </w:trPr>
        <w:tc>
          <w:tcPr>
            <w:tcW w:w="2122" w:type="dxa"/>
          </w:tcPr>
          <w:p w14:paraId="3E2D01C4" w14:textId="30A07F1B" w:rsidR="00FB11F8" w:rsidRPr="00275C12" w:rsidRDefault="00FB11F8" w:rsidP="00FB11F8">
            <w:pPr>
              <w:pStyle w:val="ListParagraph"/>
              <w:tabs>
                <w:tab w:val="left" w:pos="284"/>
              </w:tabs>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CEO Tenure </w:t>
            </w:r>
          </w:p>
        </w:tc>
        <w:tc>
          <w:tcPr>
            <w:tcW w:w="1701" w:type="dxa"/>
          </w:tcPr>
          <w:p w14:paraId="5FA99418" w14:textId="5521C4B6"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1,000000 </w:t>
            </w:r>
          </w:p>
        </w:tc>
        <w:tc>
          <w:tcPr>
            <w:tcW w:w="1984" w:type="dxa"/>
          </w:tcPr>
          <w:p w14:paraId="07A33909" w14:textId="0B8460D9"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-0,023730 </w:t>
            </w:r>
          </w:p>
        </w:tc>
        <w:tc>
          <w:tcPr>
            <w:tcW w:w="1841" w:type="dxa"/>
          </w:tcPr>
          <w:p w14:paraId="1BCFB95B" w14:textId="7084196E"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0,036418 </w:t>
            </w:r>
          </w:p>
        </w:tc>
      </w:tr>
      <w:tr w:rsidR="00FB11F8" w:rsidRPr="00275C12" w14:paraId="33AF129A" w14:textId="77777777" w:rsidTr="00FB11F8">
        <w:trPr>
          <w:jc w:val="center"/>
        </w:trPr>
        <w:tc>
          <w:tcPr>
            <w:tcW w:w="2122" w:type="dxa"/>
          </w:tcPr>
          <w:p w14:paraId="17B05B16" w14:textId="1838F9BD" w:rsidR="00FB11F8" w:rsidRPr="00275C12" w:rsidRDefault="00FB11F8" w:rsidP="00FB11F8">
            <w:pPr>
              <w:pStyle w:val="ListParagraph"/>
              <w:tabs>
                <w:tab w:val="left" w:pos="284"/>
              </w:tabs>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Financial Distress </w:t>
            </w:r>
          </w:p>
        </w:tc>
        <w:tc>
          <w:tcPr>
            <w:tcW w:w="1701" w:type="dxa"/>
          </w:tcPr>
          <w:p w14:paraId="63A3259E" w14:textId="16D07E6F"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-0,023730 </w:t>
            </w:r>
          </w:p>
        </w:tc>
        <w:tc>
          <w:tcPr>
            <w:tcW w:w="1984" w:type="dxa"/>
          </w:tcPr>
          <w:p w14:paraId="04E71B4F" w14:textId="578F2A56"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1,000000 </w:t>
            </w:r>
          </w:p>
        </w:tc>
        <w:tc>
          <w:tcPr>
            <w:tcW w:w="1841" w:type="dxa"/>
          </w:tcPr>
          <w:p w14:paraId="310F514F" w14:textId="2A58000F"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-0,031934 </w:t>
            </w:r>
          </w:p>
        </w:tc>
      </w:tr>
      <w:tr w:rsidR="00FB11F8" w:rsidRPr="00275C12" w14:paraId="0B968C4A" w14:textId="77777777" w:rsidTr="00FB11F8">
        <w:trPr>
          <w:jc w:val="center"/>
        </w:trPr>
        <w:tc>
          <w:tcPr>
            <w:tcW w:w="2122" w:type="dxa"/>
          </w:tcPr>
          <w:p w14:paraId="45C2DB54" w14:textId="5CD193B6" w:rsidR="00FB11F8" w:rsidRPr="00275C12" w:rsidRDefault="00FB11F8" w:rsidP="00FB11F8">
            <w:pPr>
              <w:pStyle w:val="ListParagraph"/>
              <w:tabs>
                <w:tab w:val="left" w:pos="284"/>
              </w:tabs>
              <w:ind w:left="0" w:firstLine="0"/>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Sales Growth </w:t>
            </w:r>
          </w:p>
        </w:tc>
        <w:tc>
          <w:tcPr>
            <w:tcW w:w="1701" w:type="dxa"/>
          </w:tcPr>
          <w:p w14:paraId="5F64F204" w14:textId="0D06F89F"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0,036418 </w:t>
            </w:r>
          </w:p>
        </w:tc>
        <w:tc>
          <w:tcPr>
            <w:tcW w:w="1984" w:type="dxa"/>
          </w:tcPr>
          <w:p w14:paraId="3EA56EC0" w14:textId="5F7CB5F0"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-0,031934 </w:t>
            </w:r>
          </w:p>
        </w:tc>
        <w:tc>
          <w:tcPr>
            <w:tcW w:w="1841" w:type="dxa"/>
          </w:tcPr>
          <w:p w14:paraId="6B9699C8" w14:textId="4E5CB1A5" w:rsidR="00FB11F8" w:rsidRPr="00275C12" w:rsidRDefault="00FB11F8" w:rsidP="00FB11F8">
            <w:pPr>
              <w:pStyle w:val="ListParagraph"/>
              <w:tabs>
                <w:tab w:val="left" w:pos="284"/>
              </w:tabs>
              <w:ind w:left="0" w:firstLine="0"/>
              <w:jc w:val="right"/>
              <w:rPr>
                <w:rFonts w:ascii="Nirmala UI Semilight" w:eastAsia="Times New Roman" w:hAnsi="Nirmala UI Semilight" w:cs="Nirmala UI Semilight"/>
                <w:color w:val="000000"/>
              </w:rPr>
            </w:pPr>
            <w:r w:rsidRPr="00275C12">
              <w:rPr>
                <w:rFonts w:ascii="Nirmala UI Semilight" w:hAnsi="Nirmala UI Semilight" w:cs="Nirmala UI Semilight"/>
              </w:rPr>
              <w:t xml:space="preserve">1,000000 </w:t>
            </w:r>
          </w:p>
        </w:tc>
      </w:tr>
    </w:tbl>
    <w:p w14:paraId="28C3FE91" w14:textId="77777777" w:rsidR="00FB11F8" w:rsidRPr="00275C12" w:rsidRDefault="00FB11F8" w:rsidP="00FB11F8">
      <w:pPr>
        <w:tabs>
          <w:tab w:val="left" w:pos="284"/>
        </w:tabs>
        <w:spacing w:after="120" w:line="240" w:lineRule="auto"/>
        <w:ind w:left="567"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6087E060" w14:textId="77777777" w:rsidR="00FB11F8" w:rsidRPr="00275C12" w:rsidRDefault="00FB11F8" w:rsidP="00FB11F8">
      <w:pPr>
        <w:tabs>
          <w:tab w:val="left" w:pos="284"/>
        </w:tabs>
        <w:spacing w:after="0" w:line="240" w:lineRule="auto"/>
        <w:ind w:left="0" w:firstLine="0"/>
        <w:rPr>
          <w:rFonts w:ascii="Nirmala UI Semilight" w:eastAsia="Times New Roman" w:hAnsi="Nirmala UI Semilight" w:cs="Nirmala UI Semilight"/>
          <w:color w:val="000000"/>
        </w:rPr>
      </w:pPr>
    </w:p>
    <w:p w14:paraId="700FC2C9" w14:textId="45CFC736" w:rsidR="00E569BB" w:rsidRPr="00275C12" w:rsidRDefault="00FB11F8" w:rsidP="00FB11F8">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Based on the test results shown in the table above, it is known that the coefficient value between independent variables, namely CEO tenure (X1), financial distress (X2), and sales growth (X3) is smaller than 0.80. Thus, it can be concluded that the research data is free from multicollinearity problems.</w:t>
      </w:r>
    </w:p>
    <w:p w14:paraId="3B719E72" w14:textId="77777777" w:rsidR="00FB11F8" w:rsidRPr="00275C12" w:rsidRDefault="00FB11F8" w:rsidP="00FB11F8">
      <w:pPr>
        <w:tabs>
          <w:tab w:val="left" w:pos="284"/>
        </w:tabs>
        <w:spacing w:after="0" w:line="240" w:lineRule="auto"/>
        <w:ind w:left="0" w:firstLine="0"/>
        <w:rPr>
          <w:rFonts w:ascii="Nirmala UI Semilight" w:eastAsia="Times New Roman" w:hAnsi="Nirmala UI Semilight" w:cs="Nirmala UI Semilight"/>
          <w:color w:val="000000"/>
        </w:rPr>
      </w:pPr>
    </w:p>
    <w:p w14:paraId="72CD9212" w14:textId="4817DD80" w:rsidR="00E569BB" w:rsidRPr="00275C12" w:rsidRDefault="00FB11F8" w:rsidP="00E569BB">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 xml:space="preserve">F </w:t>
      </w:r>
      <w:r w:rsidR="00E569BB" w:rsidRPr="00275C12">
        <w:rPr>
          <w:rFonts w:ascii="Nirmala UI Semilight" w:eastAsia="Times New Roman" w:hAnsi="Nirmala UI Semilight" w:cs="Nirmala UI Semilight"/>
          <w:i/>
          <w:iCs/>
          <w:color w:val="auto"/>
          <w:sz w:val="22"/>
          <w:szCs w:val="22"/>
        </w:rPr>
        <w:t xml:space="preserve">Test </w:t>
      </w:r>
      <w:r w:rsidRPr="00275C12">
        <w:rPr>
          <w:rFonts w:ascii="Nirmala UI Semilight" w:eastAsia="Times New Roman" w:hAnsi="Nirmala UI Semilight" w:cs="Nirmala UI Semilight"/>
          <w:i/>
          <w:iCs/>
          <w:color w:val="auto"/>
          <w:sz w:val="22"/>
          <w:szCs w:val="22"/>
        </w:rPr>
        <w:t>(Simultaneous)</w:t>
      </w:r>
    </w:p>
    <w:p w14:paraId="61F3C554" w14:textId="4DDAED0F" w:rsidR="00E569BB" w:rsidRPr="00275C12"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rPr>
      </w:pPr>
      <w:r w:rsidRPr="00275C12">
        <w:rPr>
          <w:rFonts w:ascii="Nirmala UI Semilight" w:eastAsia="Times New Roman" w:hAnsi="Nirmala UI Semilight" w:cs="Nirmala UI Semilight"/>
        </w:rPr>
        <w:tab/>
      </w:r>
      <w:r w:rsidR="00FB11F8" w:rsidRPr="00275C12">
        <w:rPr>
          <w:rFonts w:ascii="Nirmala UI Semilight" w:eastAsia="Times New Roman" w:hAnsi="Nirmala UI Semilight" w:cs="Nirmala UI Semilight"/>
        </w:rPr>
        <w:t>The F test is used to test whether all independent variables in the regression model have a simultaneous influence on the dependent variable. The following are the results of the F hypothesis test that has been carried out and presented in Table 13:</w:t>
      </w:r>
    </w:p>
    <w:p w14:paraId="025ACF1F" w14:textId="77777777" w:rsidR="00E569BB" w:rsidRPr="00275C12"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rPr>
      </w:pPr>
    </w:p>
    <w:p w14:paraId="56471E9F" w14:textId="6CD59841" w:rsidR="00E569BB" w:rsidRPr="00275C12" w:rsidRDefault="00E569BB" w:rsidP="00E569BB">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Table </w:t>
      </w:r>
      <w:r w:rsidR="00FB11F8" w:rsidRPr="00275C12">
        <w:rPr>
          <w:rFonts w:ascii="Nirmala UI Semilight" w:eastAsia="Times New Roman" w:hAnsi="Nirmala UI Semilight" w:cs="Nirmala UI Semilight"/>
          <w:color w:val="000000"/>
        </w:rPr>
        <w:t>13</w:t>
      </w:r>
      <w:r w:rsidRPr="00275C12">
        <w:rPr>
          <w:rFonts w:ascii="Nirmala UI Semilight" w:eastAsia="Times New Roman" w:hAnsi="Nirmala UI Semilight" w:cs="Nirmala UI Semilight"/>
          <w:color w:val="000000"/>
        </w:rPr>
        <w:t xml:space="preserve">. </w:t>
      </w:r>
      <w:r w:rsidR="00FB11F8" w:rsidRPr="00275C12">
        <w:rPr>
          <w:rFonts w:ascii="Nirmala UI Semilight" w:eastAsia="Times New Roman" w:hAnsi="Nirmala UI Semilight" w:cs="Nirmala UI Semilight"/>
          <w:color w:val="000000"/>
        </w:rPr>
        <w:t xml:space="preserve">F </w:t>
      </w:r>
      <w:r w:rsidRPr="00275C12">
        <w:rPr>
          <w:rFonts w:ascii="Nirmala UI Semilight" w:eastAsia="Times New Roman" w:hAnsi="Nirmala UI Semilight" w:cs="Nirmala UI Semilight"/>
          <w:color w:val="000000"/>
        </w:rPr>
        <w:t>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18"/>
        <w:gridCol w:w="2551"/>
        <w:gridCol w:w="1560"/>
      </w:tblGrid>
      <w:tr w:rsidR="00FB11F8" w:rsidRPr="00275C12" w14:paraId="4F484B8D" w14:textId="77777777" w:rsidTr="00994FC3">
        <w:trPr>
          <w:trHeight w:val="90"/>
          <w:jc w:val="center"/>
        </w:trPr>
        <w:tc>
          <w:tcPr>
            <w:tcW w:w="2268" w:type="dxa"/>
          </w:tcPr>
          <w:p w14:paraId="671B2598"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R-squared </w:t>
            </w:r>
          </w:p>
        </w:tc>
        <w:tc>
          <w:tcPr>
            <w:tcW w:w="1418" w:type="dxa"/>
          </w:tcPr>
          <w:p w14:paraId="177E2EC2"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0,449903 </w:t>
            </w:r>
          </w:p>
        </w:tc>
        <w:tc>
          <w:tcPr>
            <w:tcW w:w="2551" w:type="dxa"/>
          </w:tcPr>
          <w:p w14:paraId="5ED48996"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Mean dependent var </w:t>
            </w:r>
          </w:p>
        </w:tc>
        <w:tc>
          <w:tcPr>
            <w:tcW w:w="1560" w:type="dxa"/>
          </w:tcPr>
          <w:p w14:paraId="1AAF39C7"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0,635870 </w:t>
            </w:r>
          </w:p>
        </w:tc>
      </w:tr>
      <w:tr w:rsidR="00FB11F8" w:rsidRPr="00275C12" w14:paraId="1EC3946E" w14:textId="77777777" w:rsidTr="00994FC3">
        <w:trPr>
          <w:trHeight w:val="90"/>
          <w:jc w:val="center"/>
        </w:trPr>
        <w:tc>
          <w:tcPr>
            <w:tcW w:w="2268" w:type="dxa"/>
          </w:tcPr>
          <w:p w14:paraId="23874C45"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Adjusted R-squared </w:t>
            </w:r>
          </w:p>
        </w:tc>
        <w:tc>
          <w:tcPr>
            <w:tcW w:w="1418" w:type="dxa"/>
          </w:tcPr>
          <w:p w14:paraId="1885CA10"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0,145234 </w:t>
            </w:r>
          </w:p>
        </w:tc>
        <w:tc>
          <w:tcPr>
            <w:tcW w:w="2551" w:type="dxa"/>
          </w:tcPr>
          <w:p w14:paraId="5FA576DE"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S.D. dependent var </w:t>
            </w:r>
          </w:p>
        </w:tc>
        <w:tc>
          <w:tcPr>
            <w:tcW w:w="1560" w:type="dxa"/>
          </w:tcPr>
          <w:p w14:paraId="69CDFF2F"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2,448324 </w:t>
            </w:r>
          </w:p>
        </w:tc>
      </w:tr>
      <w:tr w:rsidR="00FB11F8" w:rsidRPr="00275C12" w14:paraId="75F24603" w14:textId="77777777" w:rsidTr="00994FC3">
        <w:trPr>
          <w:trHeight w:val="90"/>
          <w:jc w:val="center"/>
        </w:trPr>
        <w:tc>
          <w:tcPr>
            <w:tcW w:w="2268" w:type="dxa"/>
          </w:tcPr>
          <w:p w14:paraId="5021F815"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S.E. of regression </w:t>
            </w:r>
          </w:p>
        </w:tc>
        <w:tc>
          <w:tcPr>
            <w:tcW w:w="1418" w:type="dxa"/>
          </w:tcPr>
          <w:p w14:paraId="42371957"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2,263562 </w:t>
            </w:r>
          </w:p>
        </w:tc>
        <w:tc>
          <w:tcPr>
            <w:tcW w:w="2551" w:type="dxa"/>
          </w:tcPr>
          <w:p w14:paraId="56D40508"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Akaike info criterion </w:t>
            </w:r>
          </w:p>
        </w:tc>
        <w:tc>
          <w:tcPr>
            <w:tcW w:w="1560" w:type="dxa"/>
          </w:tcPr>
          <w:p w14:paraId="1ED1E95D"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4,746662 </w:t>
            </w:r>
          </w:p>
        </w:tc>
      </w:tr>
      <w:tr w:rsidR="00FB11F8" w:rsidRPr="00275C12" w14:paraId="204837D7" w14:textId="77777777" w:rsidTr="00994FC3">
        <w:trPr>
          <w:trHeight w:val="90"/>
          <w:jc w:val="center"/>
        </w:trPr>
        <w:tc>
          <w:tcPr>
            <w:tcW w:w="2268" w:type="dxa"/>
          </w:tcPr>
          <w:p w14:paraId="6A74C7E4"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Sum squared resid </w:t>
            </w:r>
          </w:p>
        </w:tc>
        <w:tc>
          <w:tcPr>
            <w:tcW w:w="1418" w:type="dxa"/>
          </w:tcPr>
          <w:p w14:paraId="1D2557C3"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333,0415 </w:t>
            </w:r>
          </w:p>
        </w:tc>
        <w:tc>
          <w:tcPr>
            <w:tcW w:w="2551" w:type="dxa"/>
          </w:tcPr>
          <w:p w14:paraId="3CA496D4"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Schwarz criterion </w:t>
            </w:r>
          </w:p>
        </w:tc>
        <w:tc>
          <w:tcPr>
            <w:tcW w:w="1560" w:type="dxa"/>
          </w:tcPr>
          <w:p w14:paraId="113B0555"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5,698858 </w:t>
            </w:r>
          </w:p>
        </w:tc>
      </w:tr>
      <w:tr w:rsidR="00FB11F8" w:rsidRPr="00275C12" w14:paraId="6C5E1921" w14:textId="77777777" w:rsidTr="00994FC3">
        <w:trPr>
          <w:trHeight w:val="90"/>
          <w:jc w:val="center"/>
        </w:trPr>
        <w:tc>
          <w:tcPr>
            <w:tcW w:w="2268" w:type="dxa"/>
          </w:tcPr>
          <w:p w14:paraId="0D930229"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Log likelihood </w:t>
            </w:r>
          </w:p>
        </w:tc>
        <w:tc>
          <w:tcPr>
            <w:tcW w:w="1418" w:type="dxa"/>
          </w:tcPr>
          <w:p w14:paraId="5BC68435"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-205,0797 </w:t>
            </w:r>
          </w:p>
        </w:tc>
        <w:tc>
          <w:tcPr>
            <w:tcW w:w="2551" w:type="dxa"/>
          </w:tcPr>
          <w:p w14:paraId="69CAD0A0"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Hannan-Quinn criterion </w:t>
            </w:r>
          </w:p>
        </w:tc>
        <w:tc>
          <w:tcPr>
            <w:tcW w:w="1560" w:type="dxa"/>
          </w:tcPr>
          <w:p w14:paraId="24B26F21"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5,132238 </w:t>
            </w:r>
          </w:p>
        </w:tc>
      </w:tr>
      <w:tr w:rsidR="00FB11F8" w:rsidRPr="00275C12" w14:paraId="0DBD5CAE" w14:textId="77777777" w:rsidTr="00994FC3">
        <w:trPr>
          <w:trHeight w:val="90"/>
          <w:jc w:val="center"/>
        </w:trPr>
        <w:tc>
          <w:tcPr>
            <w:tcW w:w="2268" w:type="dxa"/>
          </w:tcPr>
          <w:p w14:paraId="70F70683"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F-statistic </w:t>
            </w:r>
          </w:p>
        </w:tc>
        <w:tc>
          <w:tcPr>
            <w:tcW w:w="1418" w:type="dxa"/>
          </w:tcPr>
          <w:p w14:paraId="4FC1D5C9"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1,476694 </w:t>
            </w:r>
          </w:p>
        </w:tc>
        <w:tc>
          <w:tcPr>
            <w:tcW w:w="2551" w:type="dxa"/>
          </w:tcPr>
          <w:p w14:paraId="5A336625"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Durbin-Watson stat </w:t>
            </w:r>
          </w:p>
        </w:tc>
        <w:tc>
          <w:tcPr>
            <w:tcW w:w="1560" w:type="dxa"/>
          </w:tcPr>
          <w:p w14:paraId="00E28963" w14:textId="77777777" w:rsidR="00FB11F8" w:rsidRPr="00275C12" w:rsidRDefault="00FB11F8" w:rsidP="00FB11F8">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2,200631 </w:t>
            </w:r>
          </w:p>
        </w:tc>
      </w:tr>
      <w:tr w:rsidR="00FB11F8" w:rsidRPr="00275C12" w14:paraId="67A7CE7B" w14:textId="77777777" w:rsidTr="00994FC3">
        <w:trPr>
          <w:trHeight w:val="90"/>
          <w:jc w:val="center"/>
        </w:trPr>
        <w:tc>
          <w:tcPr>
            <w:tcW w:w="3686" w:type="dxa"/>
            <w:gridSpan w:val="2"/>
          </w:tcPr>
          <w:p w14:paraId="34993E27" w14:textId="77777777" w:rsidR="00FB11F8" w:rsidRPr="00275C12" w:rsidRDefault="00FB11F8" w:rsidP="00FB11F8">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Prob(F-statistic) </w:t>
            </w:r>
          </w:p>
        </w:tc>
        <w:tc>
          <w:tcPr>
            <w:tcW w:w="4111" w:type="dxa"/>
            <w:gridSpan w:val="2"/>
          </w:tcPr>
          <w:p w14:paraId="75F23352" w14:textId="77777777" w:rsidR="00FB11F8" w:rsidRPr="00275C12" w:rsidRDefault="00FB11F8" w:rsidP="00FB11F8">
            <w:pPr>
              <w:spacing w:after="0" w:line="240" w:lineRule="auto"/>
              <w:jc w:val="right"/>
              <w:rPr>
                <w:rFonts w:ascii="Nirmala UI Semilight" w:hAnsi="Nirmala UI Semilight" w:cs="Nirmala UI Semilight"/>
              </w:rPr>
            </w:pPr>
            <w:r w:rsidRPr="00275C12">
              <w:rPr>
                <w:rFonts w:ascii="Nirmala UI Semilight" w:hAnsi="Nirmala UI Semilight" w:cs="Nirmala UI Semilight"/>
              </w:rPr>
              <w:t xml:space="preserve">0,085485 </w:t>
            </w:r>
          </w:p>
        </w:tc>
      </w:tr>
    </w:tbl>
    <w:p w14:paraId="1330F616" w14:textId="77777777" w:rsidR="00FB11F8" w:rsidRPr="00275C12" w:rsidRDefault="00FB11F8" w:rsidP="00FB11F8">
      <w:pPr>
        <w:tabs>
          <w:tab w:val="left" w:pos="284"/>
        </w:tabs>
        <w:spacing w:after="120" w:line="240" w:lineRule="auto"/>
        <w:ind w:left="426"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0B96FBCF" w14:textId="77777777" w:rsidR="00E569BB" w:rsidRPr="00275C12"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rPr>
      </w:pPr>
    </w:p>
    <w:p w14:paraId="66CFB6CD" w14:textId="7249ABD6" w:rsidR="00FB11F8" w:rsidRPr="00275C12" w:rsidRDefault="00FB11F8" w:rsidP="002B25BE">
      <w:pPr>
        <w:pStyle w:val="ListParagraph"/>
        <w:tabs>
          <w:tab w:val="left" w:pos="284"/>
        </w:tabs>
        <w:spacing w:after="120" w:line="240" w:lineRule="auto"/>
        <w:ind w:left="0" w:firstLine="0"/>
        <w:rPr>
          <w:rFonts w:ascii="Nirmala UI Semilight" w:eastAsia="Times New Roman" w:hAnsi="Nirmala UI Semilight" w:cs="Nirmala UI Semilight"/>
        </w:rPr>
      </w:pPr>
      <w:r w:rsidRPr="00275C12">
        <w:rPr>
          <w:rFonts w:ascii="Nirmala UI Semilight" w:eastAsia="Times New Roman" w:hAnsi="Nirmala UI Semilight" w:cs="Nirmala UI Semilight"/>
        </w:rPr>
        <w:tab/>
        <w:t>Based on Table 13 above, it can be seen that the prob. (F-statistic) value obtained is 0.085366 which shows the Significance value (Sig)&gt; 0.05. These results indicate that the CEO tenure, financial distress, and sales growth variables simultaneously have no effect on tax avoidance.</w:t>
      </w:r>
    </w:p>
    <w:p w14:paraId="18753336" w14:textId="65F7E633" w:rsidR="00E569BB" w:rsidRPr="00275C12" w:rsidRDefault="00E569BB" w:rsidP="00FB11F8">
      <w:pPr>
        <w:pStyle w:val="ListParagraph"/>
        <w:tabs>
          <w:tab w:val="left" w:pos="284"/>
        </w:tabs>
        <w:spacing w:after="120" w:line="240" w:lineRule="auto"/>
        <w:ind w:left="0" w:firstLine="0"/>
        <w:rPr>
          <w:rFonts w:ascii="Nirmala UI Semilight" w:eastAsia="Times New Roman" w:hAnsi="Nirmala UI Semilight" w:cs="Nirmala UI Semilight"/>
        </w:rPr>
      </w:pPr>
    </w:p>
    <w:p w14:paraId="34C4D274" w14:textId="087B48F0" w:rsidR="00EE6553" w:rsidRPr="00275C12" w:rsidRDefault="00FB11F8" w:rsidP="00EE6553">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lastRenderedPageBreak/>
        <w:t>Test Coefficient of Determination (R</w:t>
      </w:r>
      <w:r w:rsidRPr="00275C12">
        <w:rPr>
          <w:rFonts w:ascii="Nirmala UI Semilight" w:eastAsia="Times New Roman" w:hAnsi="Nirmala UI Semilight" w:cs="Nirmala UI Semilight"/>
          <w:i/>
          <w:iCs/>
          <w:color w:val="auto"/>
          <w:sz w:val="22"/>
          <w:szCs w:val="22"/>
          <w:vertAlign w:val="superscript"/>
        </w:rPr>
        <w:t>2</w:t>
      </w:r>
      <w:r w:rsidRPr="00275C12">
        <w:rPr>
          <w:rFonts w:ascii="Nirmala UI Semilight" w:eastAsia="Times New Roman" w:hAnsi="Nirmala UI Semilight" w:cs="Nirmala UI Semilight"/>
          <w:i/>
          <w:iCs/>
          <w:color w:val="auto"/>
          <w:sz w:val="22"/>
          <w:szCs w:val="22"/>
        </w:rPr>
        <w:t>)</w:t>
      </w:r>
    </w:p>
    <w:p w14:paraId="53154A3B" w14:textId="519909B0" w:rsidR="00E569BB" w:rsidRPr="00275C12" w:rsidRDefault="00EE6553" w:rsidP="00EE6553">
      <w:pPr>
        <w:pStyle w:val="ListParagraph"/>
        <w:tabs>
          <w:tab w:val="left" w:pos="284"/>
        </w:tabs>
        <w:spacing w:after="120" w:line="240" w:lineRule="auto"/>
        <w:ind w:left="0" w:firstLine="0"/>
        <w:rPr>
          <w:rFonts w:ascii="Nirmala UI Semilight" w:eastAsia="Times New Roman" w:hAnsi="Nirmala UI Semilight" w:cs="Nirmala UI Semilight"/>
        </w:rPr>
      </w:pPr>
      <w:r w:rsidRPr="00275C12">
        <w:rPr>
          <w:rFonts w:ascii="Nirmala UI Semilight" w:eastAsia="Times New Roman" w:hAnsi="Nirmala UI Semilight" w:cs="Nirmala UI Semilight"/>
        </w:rPr>
        <w:tab/>
      </w:r>
      <w:r w:rsidR="00FB11F8" w:rsidRPr="00275C12">
        <w:rPr>
          <w:rFonts w:ascii="Nirmala UI Semilight" w:eastAsia="Times New Roman" w:hAnsi="Nirmala UI Semilight" w:cs="Nirmala UI Semilight"/>
        </w:rPr>
        <w:t>The coefficient of determination aims to measure how much the ability of the independent variable to explain the dependent variable by looking at the Adjusted R-Square value between 0 (zero) and 1 (one). The panel data regression model is considered appropriate to use when the value is close to one. The following are the results of the coefficient of determination test:</w:t>
      </w:r>
    </w:p>
    <w:p w14:paraId="04B8A92D" w14:textId="77777777" w:rsidR="00FB11F8" w:rsidRPr="00275C12" w:rsidRDefault="00FB11F8" w:rsidP="00EE6553">
      <w:pPr>
        <w:pStyle w:val="ListParagraph"/>
        <w:tabs>
          <w:tab w:val="left" w:pos="284"/>
        </w:tabs>
        <w:spacing w:after="120" w:line="240" w:lineRule="auto"/>
        <w:ind w:left="0" w:firstLine="0"/>
        <w:rPr>
          <w:rFonts w:ascii="Nirmala UI Semilight" w:eastAsia="Times New Roman" w:hAnsi="Nirmala UI Semilight" w:cs="Nirmala UI Semilight"/>
        </w:rPr>
      </w:pPr>
    </w:p>
    <w:p w14:paraId="7639DD82" w14:textId="6DBA25AB" w:rsidR="00FB11F8" w:rsidRPr="00275C12" w:rsidRDefault="000C3AD6" w:rsidP="000C3AD6">
      <w:pPr>
        <w:pStyle w:val="ListParagraph"/>
        <w:tabs>
          <w:tab w:val="left" w:pos="284"/>
        </w:tabs>
        <w:spacing w:after="120" w:line="240" w:lineRule="auto"/>
        <w:ind w:left="0" w:firstLine="0"/>
        <w:jc w:val="center"/>
        <w:rPr>
          <w:rFonts w:ascii="Nirmala UI Semilight" w:eastAsia="Times New Roman" w:hAnsi="Nirmala UI Semilight" w:cs="Nirmala UI Semilight"/>
        </w:rPr>
      </w:pPr>
      <w:r w:rsidRPr="00275C12">
        <w:rPr>
          <w:rFonts w:ascii="Nirmala UI Semilight" w:eastAsia="Times New Roman" w:hAnsi="Nirmala UI Semilight" w:cs="Nirmala UI Semilight"/>
        </w:rPr>
        <w:t>Table 14. Test Results of the Coefficient of Determination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412"/>
      </w:tblGrid>
      <w:tr w:rsidR="00FB11F8" w:rsidRPr="00275C12" w14:paraId="012ED4FE" w14:textId="77777777" w:rsidTr="00994FC3">
        <w:trPr>
          <w:trHeight w:val="88"/>
          <w:jc w:val="center"/>
        </w:trPr>
        <w:tc>
          <w:tcPr>
            <w:tcW w:w="3403" w:type="dxa"/>
          </w:tcPr>
          <w:p w14:paraId="0C26336B" w14:textId="7400BE96" w:rsidR="00FB11F8" w:rsidRPr="00275C12" w:rsidRDefault="00FB11F8" w:rsidP="00FB11F8">
            <w:pPr>
              <w:pStyle w:val="ListParagraph"/>
              <w:tabs>
                <w:tab w:val="left" w:pos="284"/>
              </w:tabs>
              <w:spacing w:after="0" w:line="240" w:lineRule="auto"/>
              <w:ind w:left="0" w:firstLine="0"/>
              <w:jc w:val="center"/>
              <w:rPr>
                <w:rFonts w:ascii="Nirmala UI Semilight" w:eastAsia="Times New Roman" w:hAnsi="Nirmala UI Semilight" w:cs="Nirmala UI Semilight"/>
                <w:lang w:val="en-ID"/>
              </w:rPr>
            </w:pPr>
            <w:r w:rsidRPr="00275C12">
              <w:rPr>
                <w:rFonts w:ascii="Nirmala UI Semilight" w:eastAsia="Times New Roman" w:hAnsi="Nirmala UI Semilight" w:cs="Nirmala UI Semilight"/>
                <w:b/>
                <w:bCs/>
                <w:lang w:val="en-ID"/>
              </w:rPr>
              <w:t>R-square</w:t>
            </w:r>
          </w:p>
        </w:tc>
        <w:tc>
          <w:tcPr>
            <w:tcW w:w="3412" w:type="dxa"/>
          </w:tcPr>
          <w:p w14:paraId="308F369C" w14:textId="5B9C6D36" w:rsidR="00FB11F8" w:rsidRPr="00275C12" w:rsidRDefault="00FB11F8" w:rsidP="00FB11F8">
            <w:pPr>
              <w:pStyle w:val="ListParagraph"/>
              <w:tabs>
                <w:tab w:val="left" w:pos="284"/>
              </w:tabs>
              <w:spacing w:after="0" w:line="240" w:lineRule="auto"/>
              <w:ind w:left="0" w:firstLine="0"/>
              <w:jc w:val="center"/>
              <w:rPr>
                <w:rFonts w:ascii="Nirmala UI Semilight" w:eastAsia="Times New Roman" w:hAnsi="Nirmala UI Semilight" w:cs="Nirmala UI Semilight"/>
                <w:lang w:val="en-ID"/>
              </w:rPr>
            </w:pPr>
            <w:r w:rsidRPr="00275C12">
              <w:rPr>
                <w:rFonts w:ascii="Nirmala UI Semilight" w:eastAsia="Times New Roman" w:hAnsi="Nirmala UI Semilight" w:cs="Nirmala UI Semilight"/>
                <w:b/>
                <w:bCs/>
                <w:lang w:val="en-ID"/>
              </w:rPr>
              <w:t>Adjusted R-Square</w:t>
            </w:r>
          </w:p>
        </w:tc>
      </w:tr>
      <w:tr w:rsidR="00FB11F8" w:rsidRPr="00275C12" w14:paraId="7234202A" w14:textId="77777777" w:rsidTr="00994FC3">
        <w:trPr>
          <w:trHeight w:val="90"/>
          <w:jc w:val="center"/>
        </w:trPr>
        <w:tc>
          <w:tcPr>
            <w:tcW w:w="3403" w:type="dxa"/>
          </w:tcPr>
          <w:p w14:paraId="7CADD156" w14:textId="1B16A00A" w:rsidR="00FB11F8" w:rsidRPr="00275C12" w:rsidRDefault="00FB11F8" w:rsidP="00FB11F8">
            <w:pPr>
              <w:pStyle w:val="ListParagraph"/>
              <w:tabs>
                <w:tab w:val="left" w:pos="284"/>
              </w:tabs>
              <w:spacing w:after="0" w:line="240" w:lineRule="auto"/>
              <w:ind w:left="0" w:firstLine="0"/>
              <w:jc w:val="center"/>
              <w:rPr>
                <w:rFonts w:ascii="Nirmala UI Semilight" w:eastAsia="Times New Roman" w:hAnsi="Nirmala UI Semilight" w:cs="Nirmala UI Semilight"/>
                <w:lang w:val="en-ID"/>
              </w:rPr>
            </w:pPr>
            <w:r w:rsidRPr="00275C12">
              <w:rPr>
                <w:rFonts w:ascii="Nirmala UI Semilight" w:eastAsia="Times New Roman" w:hAnsi="Nirmala UI Semilight" w:cs="Nirmala UI Semilight"/>
                <w:lang w:val="en-ID"/>
              </w:rPr>
              <w:t>0,449903</w:t>
            </w:r>
          </w:p>
        </w:tc>
        <w:tc>
          <w:tcPr>
            <w:tcW w:w="3412" w:type="dxa"/>
          </w:tcPr>
          <w:p w14:paraId="3344D1DF" w14:textId="4E0656EE" w:rsidR="00FB11F8" w:rsidRPr="00275C12" w:rsidRDefault="00FB11F8" w:rsidP="00FB11F8">
            <w:pPr>
              <w:pStyle w:val="ListParagraph"/>
              <w:tabs>
                <w:tab w:val="left" w:pos="284"/>
              </w:tabs>
              <w:spacing w:after="0" w:line="240" w:lineRule="auto"/>
              <w:ind w:left="0" w:firstLine="0"/>
              <w:jc w:val="center"/>
              <w:rPr>
                <w:rFonts w:ascii="Nirmala UI Semilight" w:eastAsia="Times New Roman" w:hAnsi="Nirmala UI Semilight" w:cs="Nirmala UI Semilight"/>
                <w:lang w:val="en-ID"/>
              </w:rPr>
            </w:pPr>
            <w:r w:rsidRPr="00275C12">
              <w:rPr>
                <w:rFonts w:ascii="Nirmala UI Semilight" w:eastAsia="Times New Roman" w:hAnsi="Nirmala UI Semilight" w:cs="Nirmala UI Semilight"/>
                <w:lang w:val="en-ID"/>
              </w:rPr>
              <w:t>0,145234</w:t>
            </w:r>
          </w:p>
        </w:tc>
      </w:tr>
    </w:tbl>
    <w:p w14:paraId="0FE43A71" w14:textId="77777777" w:rsidR="00FB11F8" w:rsidRPr="00275C12" w:rsidRDefault="00FB11F8" w:rsidP="00994FC3">
      <w:pPr>
        <w:tabs>
          <w:tab w:val="left" w:pos="284"/>
        </w:tabs>
        <w:spacing w:after="120" w:line="240" w:lineRule="auto"/>
        <w:ind w:left="993"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7E2EE336" w14:textId="40CD53CB" w:rsidR="00EE6553" w:rsidRPr="00275C12" w:rsidRDefault="000C3AD6" w:rsidP="00035F38">
      <w:pPr>
        <w:pStyle w:val="ListParagraph"/>
        <w:tabs>
          <w:tab w:val="left" w:pos="284"/>
        </w:tabs>
        <w:spacing w:after="0" w:line="240" w:lineRule="auto"/>
        <w:ind w:left="0" w:firstLine="0"/>
        <w:rPr>
          <w:rFonts w:ascii="Nirmala UI Semilight" w:eastAsia="Times New Roman" w:hAnsi="Nirmala UI Semilight" w:cs="Nirmala UI Semilight"/>
        </w:rPr>
      </w:pPr>
      <w:r w:rsidRPr="00275C12">
        <w:rPr>
          <w:rFonts w:ascii="Nirmala UI Semilight" w:eastAsia="Times New Roman" w:hAnsi="Nirmala UI Semilight" w:cs="Nirmala UI Semilight"/>
        </w:rPr>
        <w:tab/>
        <w:t xml:space="preserve">Based on Table 14 above, </w:t>
      </w:r>
      <w:proofErr w:type="gramStart"/>
      <w:r w:rsidRPr="00275C12">
        <w:rPr>
          <w:rFonts w:ascii="Nirmala UI Semilight" w:eastAsia="Times New Roman" w:hAnsi="Nirmala UI Semilight" w:cs="Nirmala UI Semilight"/>
        </w:rPr>
        <w:t>it can be seen that the</w:t>
      </w:r>
      <w:proofErr w:type="gramEnd"/>
      <w:r w:rsidRPr="00275C12">
        <w:rPr>
          <w:rFonts w:ascii="Nirmala UI Semilight" w:eastAsia="Times New Roman" w:hAnsi="Nirmala UI Semilight" w:cs="Nirmala UI Semilight"/>
        </w:rPr>
        <w:t xml:space="preserve"> Adjusted R-Square value obtained is 0.145234 which indicates that the ability of the CEO tenure, financial distress, and sales growth variables to explain the tax avoidance variable is 0.145234 or 14.5234% while the remaining 85.4766% is influenced by other variables outside the research model.</w:t>
      </w:r>
    </w:p>
    <w:p w14:paraId="702B747B" w14:textId="77777777" w:rsidR="00FB11F8" w:rsidRPr="00275C12" w:rsidRDefault="00FB11F8" w:rsidP="00035F38">
      <w:pPr>
        <w:pStyle w:val="ListParagraph"/>
        <w:tabs>
          <w:tab w:val="left" w:pos="284"/>
        </w:tabs>
        <w:spacing w:after="0" w:line="240" w:lineRule="auto"/>
        <w:ind w:left="0" w:firstLine="0"/>
        <w:rPr>
          <w:rFonts w:ascii="Nirmala UI Semilight" w:eastAsia="Times New Roman" w:hAnsi="Nirmala UI Semilight" w:cs="Nirmala UI Semilight"/>
          <w:i/>
          <w:iCs/>
        </w:rPr>
      </w:pPr>
    </w:p>
    <w:p w14:paraId="286AFE71" w14:textId="4E5B6DDF" w:rsidR="00EE6553" w:rsidRPr="00275C12" w:rsidRDefault="000C3AD6" w:rsidP="00EE6553">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 xml:space="preserve">T </w:t>
      </w:r>
      <w:r w:rsidR="00EE6553" w:rsidRPr="00275C12">
        <w:rPr>
          <w:rFonts w:ascii="Nirmala UI Semilight" w:eastAsia="Times New Roman" w:hAnsi="Nirmala UI Semilight" w:cs="Nirmala UI Semilight"/>
          <w:i/>
          <w:iCs/>
          <w:color w:val="auto"/>
          <w:sz w:val="22"/>
          <w:szCs w:val="22"/>
        </w:rPr>
        <w:t xml:space="preserve">Test </w:t>
      </w:r>
      <w:r w:rsidRPr="00275C12">
        <w:rPr>
          <w:rFonts w:ascii="Nirmala UI Semilight" w:eastAsia="Times New Roman" w:hAnsi="Nirmala UI Semilight" w:cs="Nirmala UI Semilight"/>
          <w:i/>
          <w:iCs/>
          <w:color w:val="auto"/>
          <w:sz w:val="22"/>
          <w:szCs w:val="22"/>
        </w:rPr>
        <w:t>(Partial)</w:t>
      </w:r>
    </w:p>
    <w:p w14:paraId="2BAFEB60" w14:textId="4A5DAE89" w:rsidR="00EE6553" w:rsidRPr="00275C12" w:rsidRDefault="00EE6553" w:rsidP="00EE6553">
      <w:pPr>
        <w:pStyle w:val="ListParagraph"/>
        <w:tabs>
          <w:tab w:val="left" w:pos="284"/>
        </w:tabs>
        <w:spacing w:after="120" w:line="240" w:lineRule="auto"/>
        <w:ind w:left="0" w:firstLine="0"/>
        <w:rPr>
          <w:rFonts w:ascii="Nirmala UI Semilight" w:eastAsia="Times New Roman" w:hAnsi="Nirmala UI Semilight" w:cs="Nirmala UI Semilight"/>
          <w:i/>
          <w:iCs/>
        </w:rPr>
      </w:pPr>
      <w:r w:rsidRPr="00275C12">
        <w:rPr>
          <w:rFonts w:ascii="Nirmala UI Semilight" w:eastAsia="Times New Roman" w:hAnsi="Nirmala UI Semilight" w:cs="Nirmala UI Semilight"/>
        </w:rPr>
        <w:tab/>
      </w:r>
      <w:r w:rsidR="000C3AD6" w:rsidRPr="00275C12">
        <w:rPr>
          <w:rFonts w:ascii="Nirmala UI Semilight" w:eastAsia="Times New Roman" w:hAnsi="Nirmala UI Semilight" w:cs="Nirmala UI Semilight"/>
        </w:rPr>
        <w:t xml:space="preserve">The t test is conducted to determine the effect of independent variables individually on variations in the dependent variable. In this study, the t test was carried out by comparing the significance value of 0.05. The following is </w:t>
      </w:r>
      <w:r w:rsidR="00B724E1" w:rsidRPr="00275C12">
        <w:rPr>
          <w:rFonts w:ascii="Nirmala UI Semilight" w:eastAsia="Times New Roman" w:hAnsi="Nirmala UI Semilight" w:cs="Nirmala UI Semilight"/>
        </w:rPr>
        <w:t xml:space="preserve">Table 15 of </w:t>
      </w:r>
      <w:r w:rsidR="000C3AD6" w:rsidRPr="00275C12">
        <w:rPr>
          <w:rFonts w:ascii="Nirmala UI Semilight" w:eastAsia="Times New Roman" w:hAnsi="Nirmala UI Semilight" w:cs="Nirmala UI Semilight"/>
        </w:rPr>
        <w:t>the t test results:</w:t>
      </w:r>
    </w:p>
    <w:p w14:paraId="1D4B66A2" w14:textId="77777777" w:rsidR="00EE6553" w:rsidRPr="00275C12" w:rsidRDefault="00EE6553" w:rsidP="002B25BE">
      <w:pPr>
        <w:pStyle w:val="ListParagraph"/>
        <w:tabs>
          <w:tab w:val="left" w:pos="284"/>
        </w:tabs>
        <w:spacing w:after="120" w:line="240" w:lineRule="auto"/>
        <w:ind w:left="0" w:firstLine="0"/>
        <w:rPr>
          <w:rFonts w:ascii="Nirmala UI Semilight" w:eastAsia="Times New Roman" w:hAnsi="Nirmala UI Semilight" w:cs="Nirmala UI Semilight"/>
          <w:i/>
          <w:iCs/>
        </w:rPr>
      </w:pPr>
    </w:p>
    <w:p w14:paraId="31DD4B47" w14:textId="69503FE4" w:rsidR="00EE6553" w:rsidRPr="00275C12" w:rsidRDefault="005449B6" w:rsidP="005449B6">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Table </w:t>
      </w:r>
      <w:r w:rsidR="00B724E1" w:rsidRPr="00275C12">
        <w:rPr>
          <w:rFonts w:ascii="Nirmala UI Semilight" w:eastAsia="Times New Roman" w:hAnsi="Nirmala UI Semilight" w:cs="Nirmala UI Semilight"/>
          <w:color w:val="000000"/>
        </w:rPr>
        <w:t>15</w:t>
      </w:r>
      <w:r w:rsidRPr="00275C12">
        <w:rPr>
          <w:rFonts w:ascii="Nirmala UI Semilight" w:eastAsia="Times New Roman" w:hAnsi="Nirmala UI Semilight" w:cs="Nirmala UI Semilight"/>
          <w:color w:val="000000"/>
        </w:rPr>
        <w:t xml:space="preserve">. </w:t>
      </w:r>
      <w:r w:rsidR="00B724E1" w:rsidRPr="00275C12">
        <w:rPr>
          <w:rFonts w:ascii="Nirmala UI Semilight" w:eastAsia="Times New Roman" w:hAnsi="Nirmala UI Semilight" w:cs="Nirmala UI Semilight"/>
          <w:color w:val="000000"/>
        </w:rPr>
        <w:t xml:space="preserve">T </w:t>
      </w:r>
      <w:r w:rsidRPr="00275C12">
        <w:rPr>
          <w:rFonts w:ascii="Nirmala UI Semilight" w:eastAsia="Times New Roman" w:hAnsi="Nirmala UI Semilight" w:cs="Nirmala UI Semilight"/>
          <w:color w:val="000000"/>
        </w:rPr>
        <w:t>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5"/>
        <w:gridCol w:w="1417"/>
        <w:gridCol w:w="1418"/>
        <w:gridCol w:w="1417"/>
        <w:gridCol w:w="2170"/>
      </w:tblGrid>
      <w:tr w:rsidR="00B724E1" w:rsidRPr="00275C12" w14:paraId="5F2B5285" w14:textId="77777777" w:rsidTr="00BD62D4">
        <w:trPr>
          <w:trHeight w:val="88"/>
          <w:jc w:val="center"/>
        </w:trPr>
        <w:tc>
          <w:tcPr>
            <w:tcW w:w="1925" w:type="dxa"/>
          </w:tcPr>
          <w:p w14:paraId="1D6D70A8" w14:textId="7749100E" w:rsidR="00B724E1" w:rsidRPr="00275C12" w:rsidRDefault="00B724E1" w:rsidP="00B724E1">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Variable</w:t>
            </w:r>
          </w:p>
        </w:tc>
        <w:tc>
          <w:tcPr>
            <w:tcW w:w="1417" w:type="dxa"/>
          </w:tcPr>
          <w:p w14:paraId="0A879F45" w14:textId="48F9D834" w:rsidR="00B724E1" w:rsidRPr="00275C12" w:rsidRDefault="00B724E1" w:rsidP="00B724E1">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Coefficient</w:t>
            </w:r>
          </w:p>
        </w:tc>
        <w:tc>
          <w:tcPr>
            <w:tcW w:w="1418" w:type="dxa"/>
          </w:tcPr>
          <w:p w14:paraId="0FF5E36D" w14:textId="33E82B1E" w:rsidR="00B724E1" w:rsidRPr="00275C12" w:rsidRDefault="00B724E1" w:rsidP="00B724E1">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Std. Error</w:t>
            </w:r>
          </w:p>
        </w:tc>
        <w:tc>
          <w:tcPr>
            <w:tcW w:w="1417" w:type="dxa"/>
          </w:tcPr>
          <w:p w14:paraId="67227967" w14:textId="6CCAEAC6" w:rsidR="00B724E1" w:rsidRPr="00275C12" w:rsidRDefault="00B724E1" w:rsidP="00B724E1">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t-statistic</w:t>
            </w:r>
          </w:p>
        </w:tc>
        <w:tc>
          <w:tcPr>
            <w:tcW w:w="2170" w:type="dxa"/>
          </w:tcPr>
          <w:p w14:paraId="30985616" w14:textId="3F9D95B5" w:rsidR="00B724E1" w:rsidRPr="00275C12" w:rsidRDefault="00B724E1" w:rsidP="00B724E1">
            <w:pPr>
              <w:spacing w:after="0" w:line="240" w:lineRule="auto"/>
              <w:ind w:left="-168" w:firstLine="0"/>
              <w:jc w:val="center"/>
              <w:rPr>
                <w:rFonts w:ascii="Nirmala UI Semilight" w:hAnsi="Nirmala UI Semilight" w:cs="Nirmala UI Semilight"/>
              </w:rPr>
            </w:pPr>
            <w:r w:rsidRPr="00275C12">
              <w:rPr>
                <w:rFonts w:ascii="Nirmala UI Semilight" w:hAnsi="Nirmala UI Semilight" w:cs="Nirmala UI Semilight"/>
                <w:b/>
                <w:bCs/>
              </w:rPr>
              <w:t>Probability value</w:t>
            </w:r>
          </w:p>
        </w:tc>
      </w:tr>
      <w:tr w:rsidR="00B724E1" w:rsidRPr="00275C12" w14:paraId="421C745E" w14:textId="77777777" w:rsidTr="00BD62D4">
        <w:trPr>
          <w:trHeight w:val="90"/>
          <w:jc w:val="center"/>
        </w:trPr>
        <w:tc>
          <w:tcPr>
            <w:tcW w:w="1925" w:type="dxa"/>
          </w:tcPr>
          <w:p w14:paraId="1C09B1ED" w14:textId="77777777" w:rsidR="00B724E1" w:rsidRPr="00275C12" w:rsidRDefault="00B724E1" w:rsidP="00B724E1">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C </w:t>
            </w:r>
          </w:p>
        </w:tc>
        <w:tc>
          <w:tcPr>
            <w:tcW w:w="1417" w:type="dxa"/>
          </w:tcPr>
          <w:p w14:paraId="3AFBA35F"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-6,421168 </w:t>
            </w:r>
          </w:p>
        </w:tc>
        <w:tc>
          <w:tcPr>
            <w:tcW w:w="1418" w:type="dxa"/>
          </w:tcPr>
          <w:p w14:paraId="62B737EB"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2,858704 </w:t>
            </w:r>
          </w:p>
        </w:tc>
        <w:tc>
          <w:tcPr>
            <w:tcW w:w="1417" w:type="dxa"/>
          </w:tcPr>
          <w:p w14:paraId="29E92C5B"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-2,246181 </w:t>
            </w:r>
          </w:p>
        </w:tc>
        <w:tc>
          <w:tcPr>
            <w:tcW w:w="2170" w:type="dxa"/>
          </w:tcPr>
          <w:p w14:paraId="71576DCE"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0,0281 </w:t>
            </w:r>
          </w:p>
        </w:tc>
      </w:tr>
      <w:tr w:rsidR="00B724E1" w:rsidRPr="00275C12" w14:paraId="1928B679" w14:textId="77777777" w:rsidTr="00BD62D4">
        <w:trPr>
          <w:trHeight w:val="90"/>
          <w:jc w:val="center"/>
        </w:trPr>
        <w:tc>
          <w:tcPr>
            <w:tcW w:w="1925" w:type="dxa"/>
          </w:tcPr>
          <w:p w14:paraId="58A90FCA" w14:textId="77777777" w:rsidR="00B724E1" w:rsidRPr="00275C12" w:rsidRDefault="00B724E1" w:rsidP="00B724E1">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CEO Tenure </w:t>
            </w:r>
          </w:p>
        </w:tc>
        <w:tc>
          <w:tcPr>
            <w:tcW w:w="1417" w:type="dxa"/>
          </w:tcPr>
          <w:p w14:paraId="68CFA9D2"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0,469798 </w:t>
            </w:r>
          </w:p>
        </w:tc>
        <w:tc>
          <w:tcPr>
            <w:tcW w:w="1418" w:type="dxa"/>
          </w:tcPr>
          <w:p w14:paraId="01B2DDA5"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0,278706 </w:t>
            </w:r>
          </w:p>
        </w:tc>
        <w:tc>
          <w:tcPr>
            <w:tcW w:w="1417" w:type="dxa"/>
          </w:tcPr>
          <w:p w14:paraId="45EDBC30"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1,685641 </w:t>
            </w:r>
          </w:p>
        </w:tc>
        <w:tc>
          <w:tcPr>
            <w:tcW w:w="2170" w:type="dxa"/>
          </w:tcPr>
          <w:p w14:paraId="4C594E96"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0,0967 </w:t>
            </w:r>
          </w:p>
        </w:tc>
      </w:tr>
      <w:tr w:rsidR="00B724E1" w:rsidRPr="00275C12" w14:paraId="487B5391" w14:textId="77777777" w:rsidTr="00BD62D4">
        <w:trPr>
          <w:trHeight w:val="90"/>
          <w:jc w:val="center"/>
        </w:trPr>
        <w:tc>
          <w:tcPr>
            <w:tcW w:w="1925" w:type="dxa"/>
          </w:tcPr>
          <w:p w14:paraId="49ECFB9A" w14:textId="77777777" w:rsidR="00B724E1" w:rsidRPr="00275C12" w:rsidRDefault="00B724E1" w:rsidP="00B724E1">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Financial Distress </w:t>
            </w:r>
          </w:p>
        </w:tc>
        <w:tc>
          <w:tcPr>
            <w:tcW w:w="1417" w:type="dxa"/>
          </w:tcPr>
          <w:p w14:paraId="237D0CE7"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0,781120 </w:t>
            </w:r>
          </w:p>
        </w:tc>
        <w:tc>
          <w:tcPr>
            <w:tcW w:w="1418" w:type="dxa"/>
          </w:tcPr>
          <w:p w14:paraId="0F64B81D"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0,304497 </w:t>
            </w:r>
          </w:p>
        </w:tc>
        <w:tc>
          <w:tcPr>
            <w:tcW w:w="1417" w:type="dxa"/>
          </w:tcPr>
          <w:p w14:paraId="25F7DADF"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2,565284 </w:t>
            </w:r>
          </w:p>
        </w:tc>
        <w:tc>
          <w:tcPr>
            <w:tcW w:w="2170" w:type="dxa"/>
          </w:tcPr>
          <w:p w14:paraId="3094688A"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0,0126 </w:t>
            </w:r>
          </w:p>
        </w:tc>
      </w:tr>
      <w:tr w:rsidR="00B724E1" w:rsidRPr="00275C12" w14:paraId="7D192F1F" w14:textId="77777777" w:rsidTr="00BD62D4">
        <w:trPr>
          <w:trHeight w:val="90"/>
          <w:jc w:val="center"/>
        </w:trPr>
        <w:tc>
          <w:tcPr>
            <w:tcW w:w="1925" w:type="dxa"/>
          </w:tcPr>
          <w:p w14:paraId="3E41CEEC" w14:textId="77777777" w:rsidR="00B724E1" w:rsidRPr="00275C12" w:rsidRDefault="00B724E1" w:rsidP="00B724E1">
            <w:pPr>
              <w:spacing w:after="0" w:line="240" w:lineRule="auto"/>
              <w:ind w:left="0" w:firstLine="0"/>
              <w:rPr>
                <w:rFonts w:ascii="Nirmala UI Semilight" w:hAnsi="Nirmala UI Semilight" w:cs="Nirmala UI Semilight"/>
              </w:rPr>
            </w:pPr>
            <w:r w:rsidRPr="00275C12">
              <w:rPr>
                <w:rFonts w:ascii="Nirmala UI Semilight" w:hAnsi="Nirmala UI Semilight" w:cs="Nirmala UI Semilight"/>
                <w:b/>
                <w:bCs/>
              </w:rPr>
              <w:t xml:space="preserve">Sales Growth </w:t>
            </w:r>
          </w:p>
        </w:tc>
        <w:tc>
          <w:tcPr>
            <w:tcW w:w="1417" w:type="dxa"/>
          </w:tcPr>
          <w:p w14:paraId="7DAC0720"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-0,693061 </w:t>
            </w:r>
          </w:p>
        </w:tc>
        <w:tc>
          <w:tcPr>
            <w:tcW w:w="1418" w:type="dxa"/>
          </w:tcPr>
          <w:p w14:paraId="4B9A5D32"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0,465398 </w:t>
            </w:r>
          </w:p>
        </w:tc>
        <w:tc>
          <w:tcPr>
            <w:tcW w:w="1417" w:type="dxa"/>
          </w:tcPr>
          <w:p w14:paraId="7BF629B1"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-1,489180 </w:t>
            </w:r>
          </w:p>
        </w:tc>
        <w:tc>
          <w:tcPr>
            <w:tcW w:w="2170" w:type="dxa"/>
          </w:tcPr>
          <w:p w14:paraId="2DAA6609" w14:textId="77777777" w:rsidR="00B724E1" w:rsidRPr="00275C12" w:rsidRDefault="00B724E1" w:rsidP="00B724E1">
            <w:pPr>
              <w:spacing w:after="0" w:line="240" w:lineRule="auto"/>
              <w:ind w:left="0" w:firstLine="0"/>
              <w:jc w:val="right"/>
              <w:rPr>
                <w:rFonts w:ascii="Nirmala UI Semilight" w:hAnsi="Nirmala UI Semilight" w:cs="Nirmala UI Semilight"/>
              </w:rPr>
            </w:pPr>
            <w:r w:rsidRPr="00275C12">
              <w:rPr>
                <w:rFonts w:ascii="Nirmala UI Semilight" w:hAnsi="Nirmala UI Semilight" w:cs="Nirmala UI Semilight"/>
              </w:rPr>
              <w:t xml:space="preserve">0,1413 </w:t>
            </w:r>
          </w:p>
        </w:tc>
      </w:tr>
    </w:tbl>
    <w:p w14:paraId="06F1DF65" w14:textId="77777777" w:rsidR="00B724E1" w:rsidRPr="00275C12" w:rsidRDefault="00B724E1" w:rsidP="00B724E1">
      <w:pPr>
        <w:tabs>
          <w:tab w:val="left" w:pos="284"/>
        </w:tabs>
        <w:spacing w:after="120" w:line="240" w:lineRule="auto"/>
        <w:ind w:left="142"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Source: Eviews 12 Output, Researcher Data Processing Results (2024)</w:t>
      </w:r>
    </w:p>
    <w:p w14:paraId="2D7B16AF" w14:textId="77777777"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p>
    <w:p w14:paraId="49B0ED37" w14:textId="75C43DDE"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lang w:val="en-ID"/>
        </w:rPr>
        <w:tab/>
        <w:t>Based on the results of data processing in Table 15 above, the linear regression model equation is obtained as follows:</w:t>
      </w:r>
    </w:p>
    <w:p w14:paraId="607361D9" w14:textId="77777777"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p>
    <w:p w14:paraId="420EB7AF" w14:textId="3C0A4264" w:rsidR="00B724E1" w:rsidRPr="00275C12" w:rsidRDefault="00B724E1" w:rsidP="00B724E1">
      <w:pPr>
        <w:tabs>
          <w:tab w:val="left" w:pos="284"/>
        </w:tabs>
        <w:spacing w:after="0" w:line="240" w:lineRule="auto"/>
        <w:ind w:left="0" w:firstLine="0"/>
        <w:jc w:val="center"/>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Y = -6.421168 + 0.469798X</w:t>
      </w:r>
      <w:r w:rsidRPr="00275C12">
        <w:rPr>
          <w:rFonts w:ascii="Nirmala UI Semilight" w:eastAsia="Times New Roman" w:hAnsi="Nirmala UI Semilight" w:cs="Nirmala UI Semilight"/>
          <w:color w:val="000000"/>
          <w:vertAlign w:val="subscript"/>
        </w:rPr>
        <w:t>1</w:t>
      </w:r>
      <w:r w:rsidRPr="00275C12">
        <w:rPr>
          <w:rFonts w:ascii="Nirmala UI Semilight" w:eastAsia="Times New Roman" w:hAnsi="Nirmala UI Semilight" w:cs="Nirmala UI Semilight"/>
          <w:color w:val="000000"/>
        </w:rPr>
        <w:t>+ 0.781120X</w:t>
      </w:r>
      <w:r w:rsidRPr="00275C12">
        <w:rPr>
          <w:rFonts w:ascii="Nirmala UI Semilight" w:eastAsia="Times New Roman" w:hAnsi="Nirmala UI Semilight" w:cs="Nirmala UI Semilight"/>
          <w:color w:val="000000"/>
          <w:vertAlign w:val="subscript"/>
        </w:rPr>
        <w:t>(2) -0</w:t>
      </w:r>
      <w:r w:rsidRPr="00275C12">
        <w:rPr>
          <w:rFonts w:ascii="Nirmala UI Semilight" w:eastAsia="Times New Roman" w:hAnsi="Nirmala UI Semilight" w:cs="Nirmala UI Semilight"/>
          <w:color w:val="000000"/>
        </w:rPr>
        <w:t>.693061X</w:t>
      </w:r>
      <w:r w:rsidRPr="00275C12">
        <w:rPr>
          <w:rFonts w:ascii="Nirmala UI Semilight" w:eastAsia="Times New Roman" w:hAnsi="Nirmala UI Semilight" w:cs="Nirmala UI Semilight"/>
          <w:color w:val="000000"/>
          <w:vertAlign w:val="subscript"/>
        </w:rPr>
        <w:t>3</w:t>
      </w:r>
      <w:r w:rsidRPr="00275C12">
        <w:rPr>
          <w:rFonts w:ascii="Nirmala UI Semilight" w:eastAsia="Times New Roman" w:hAnsi="Nirmala UI Semilight" w:cs="Nirmala UI Semilight"/>
          <w:color w:val="000000"/>
        </w:rPr>
        <w:t xml:space="preserve">+ </w:t>
      </w:r>
      <w:r w:rsidRPr="00275C12">
        <w:rPr>
          <w:rFonts w:ascii="Calibri" w:eastAsia="Times New Roman" w:hAnsi="Calibri" w:cs="Calibri"/>
          <w:color w:val="000000"/>
        </w:rPr>
        <w:t>ε</w:t>
      </w:r>
    </w:p>
    <w:p w14:paraId="62D8645C" w14:textId="77777777"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p>
    <w:p w14:paraId="0CAD1CEC" w14:textId="0BE7428A"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Description:</w:t>
      </w:r>
    </w:p>
    <w:p w14:paraId="3B1FD68E" w14:textId="5D536D53"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Y</w:t>
      </w:r>
      <w:r w:rsidRPr="00275C12">
        <w:rPr>
          <w:rFonts w:ascii="Nirmala UI Semilight" w:eastAsia="Times New Roman" w:hAnsi="Nirmala UI Semilight" w:cs="Nirmala UI Semilight"/>
          <w:color w:val="000000"/>
        </w:rPr>
        <w:tab/>
        <w:t>= Tax Avoidance</w:t>
      </w:r>
    </w:p>
    <w:p w14:paraId="641A9B34" w14:textId="5F2A1AD8"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X</w:t>
      </w:r>
      <w:r w:rsidRPr="00275C12">
        <w:rPr>
          <w:rFonts w:ascii="Nirmala UI Semilight" w:eastAsia="Times New Roman" w:hAnsi="Nirmala UI Semilight" w:cs="Nirmala UI Semilight"/>
          <w:color w:val="000000"/>
          <w:vertAlign w:val="subscript"/>
        </w:rPr>
        <w:t>1</w:t>
      </w:r>
      <w:r w:rsidRPr="00275C12">
        <w:rPr>
          <w:rFonts w:ascii="Nirmala UI Semilight" w:eastAsia="Times New Roman" w:hAnsi="Nirmala UI Semilight" w:cs="Nirmala UI Semilight"/>
          <w:color w:val="000000"/>
          <w:vertAlign w:val="subscript"/>
        </w:rPr>
        <w:tab/>
      </w:r>
      <w:r w:rsidRPr="00275C12">
        <w:rPr>
          <w:rFonts w:ascii="Nirmala UI Semilight" w:eastAsia="Times New Roman" w:hAnsi="Nirmala UI Semilight" w:cs="Nirmala UI Semilight"/>
          <w:color w:val="000000"/>
        </w:rPr>
        <w:t>= CEO Tenure</w:t>
      </w:r>
    </w:p>
    <w:p w14:paraId="4CE0E48B" w14:textId="3CD6CFB4"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X</w:t>
      </w:r>
      <w:r w:rsidRPr="00275C12">
        <w:rPr>
          <w:rFonts w:ascii="Nirmala UI Semilight" w:eastAsia="Times New Roman" w:hAnsi="Nirmala UI Semilight" w:cs="Nirmala UI Semilight"/>
          <w:color w:val="000000"/>
          <w:vertAlign w:val="subscript"/>
        </w:rPr>
        <w:t>2</w:t>
      </w:r>
      <w:r w:rsidRPr="00275C12">
        <w:rPr>
          <w:rFonts w:ascii="Nirmala UI Semilight" w:eastAsia="Times New Roman" w:hAnsi="Nirmala UI Semilight" w:cs="Nirmala UI Semilight"/>
          <w:color w:val="000000"/>
          <w:vertAlign w:val="subscript"/>
        </w:rPr>
        <w:tab/>
      </w:r>
      <w:r w:rsidRPr="00275C12">
        <w:rPr>
          <w:rFonts w:ascii="Nirmala UI Semilight" w:eastAsia="Times New Roman" w:hAnsi="Nirmala UI Semilight" w:cs="Nirmala UI Semilight"/>
          <w:color w:val="000000"/>
        </w:rPr>
        <w:t>= Financial Distress</w:t>
      </w:r>
    </w:p>
    <w:p w14:paraId="757BA125" w14:textId="74B6988A"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X</w:t>
      </w:r>
      <w:r w:rsidRPr="00275C12">
        <w:rPr>
          <w:rFonts w:ascii="Nirmala UI Semilight" w:eastAsia="Times New Roman" w:hAnsi="Nirmala UI Semilight" w:cs="Nirmala UI Semilight"/>
          <w:color w:val="000000"/>
          <w:vertAlign w:val="subscript"/>
        </w:rPr>
        <w:t>3</w:t>
      </w:r>
      <w:r w:rsidRPr="00275C12">
        <w:rPr>
          <w:rFonts w:ascii="Nirmala UI Semilight" w:eastAsia="Times New Roman" w:hAnsi="Nirmala UI Semilight" w:cs="Nirmala UI Semilight"/>
          <w:color w:val="000000"/>
          <w:vertAlign w:val="subscript"/>
        </w:rPr>
        <w:tab/>
      </w:r>
      <w:r w:rsidRPr="00275C12">
        <w:rPr>
          <w:rFonts w:ascii="Nirmala UI Semilight" w:eastAsia="Times New Roman" w:hAnsi="Nirmala UI Semilight" w:cs="Nirmala UI Semilight"/>
          <w:color w:val="000000"/>
        </w:rPr>
        <w:t>= Sales Growth</w:t>
      </w:r>
    </w:p>
    <w:p w14:paraId="5538CAB0" w14:textId="600FFE06"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Calibri" w:eastAsia="Times New Roman" w:hAnsi="Calibri" w:cs="Calibri"/>
          <w:color w:val="000000"/>
        </w:rPr>
        <w:t>ε</w:t>
      </w:r>
      <w:r w:rsidRPr="00275C12">
        <w:rPr>
          <w:rFonts w:ascii="Nirmala UI Semilight" w:eastAsia="Times New Roman" w:hAnsi="Nirmala UI Semilight" w:cs="Nirmala UI Semilight"/>
          <w:color w:val="000000"/>
        </w:rPr>
        <w:tab/>
        <w:t>= Error</w:t>
      </w:r>
    </w:p>
    <w:p w14:paraId="26EF852A" w14:textId="77777777"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p>
    <w:p w14:paraId="7DF27CD7" w14:textId="77777777" w:rsidR="00B724E1" w:rsidRPr="00275C12" w:rsidRDefault="00B724E1" w:rsidP="00B724E1">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Based on the linear regression equation and the t test results, it can be explained as follows:</w:t>
      </w:r>
    </w:p>
    <w:p w14:paraId="21F8719E" w14:textId="77777777" w:rsidR="00B724E1" w:rsidRPr="00275C12" w:rsidRDefault="00B724E1" w:rsidP="00B724E1">
      <w:pPr>
        <w:pStyle w:val="ListParagraph"/>
        <w:numPr>
          <w:ilvl w:val="0"/>
          <w:numId w:val="40"/>
        </w:numPr>
        <w:tabs>
          <w:tab w:val="left" w:pos="284"/>
        </w:tabs>
        <w:spacing w:after="0" w:line="240" w:lineRule="auto"/>
        <w:ind w:left="284" w:hanging="284"/>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The constant regression equation of -6.421168 indicates that if the value of CEO tenure, financial distress, and sales growth is zero, a tax avoidance value of -6.421168 will be formed.</w:t>
      </w:r>
    </w:p>
    <w:p w14:paraId="6B0AEACD" w14:textId="04059FA9" w:rsidR="00B724E1" w:rsidRPr="00275C12" w:rsidRDefault="00B724E1" w:rsidP="00B724E1">
      <w:pPr>
        <w:pStyle w:val="ListParagraph"/>
        <w:numPr>
          <w:ilvl w:val="0"/>
          <w:numId w:val="40"/>
        </w:numPr>
        <w:tabs>
          <w:tab w:val="left" w:pos="284"/>
        </w:tabs>
        <w:spacing w:after="0" w:line="240" w:lineRule="auto"/>
        <w:ind w:left="284" w:hanging="284"/>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 xml:space="preserve">The CEO Tenure variable (X1) has a coefficient value of 0.469798 which indicates that if the CEO Tenure value increases by 1%, the tax avoidance value will increase by 0.469798 and </w:t>
      </w:r>
      <w:r w:rsidRPr="00275C12">
        <w:rPr>
          <w:rFonts w:ascii="Nirmala UI Semilight" w:eastAsia="Times New Roman" w:hAnsi="Nirmala UI Semilight" w:cs="Nirmala UI Semilight"/>
          <w:color w:val="000000"/>
        </w:rPr>
        <w:lastRenderedPageBreak/>
        <w:t xml:space="preserve">vice versa. Then, in the t test table there is a CEO tenure significance value of 0.0967 which is greater than 0.05. This shows that the CEO Tenure variable has no effect so it can be concluded that the first hypothesis which states that CEO Tenure has a positive effect on tax avoidance is rejected (H1 is rejected). </w:t>
      </w:r>
    </w:p>
    <w:p w14:paraId="699B5C12" w14:textId="58D9F4BF" w:rsidR="00B724E1" w:rsidRPr="00275C12" w:rsidRDefault="00B724E1" w:rsidP="00B724E1">
      <w:pPr>
        <w:pStyle w:val="ListParagraph"/>
        <w:numPr>
          <w:ilvl w:val="0"/>
          <w:numId w:val="40"/>
        </w:numPr>
        <w:tabs>
          <w:tab w:val="left" w:pos="284"/>
        </w:tabs>
        <w:spacing w:after="0" w:line="240" w:lineRule="auto"/>
        <w:ind w:left="284" w:hanging="284"/>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The coefficient of financial distress (X2) is 0.781120 which indicates that if the value of financial distress increases by 1%, the value of tax avoidance will increase by 0.781120 and vice versa. Then, in the t test table for the financial distress variable shows a significance value of 0.0126 smaller than 0.05 and the regression coefficient shows a positive direction of 0.781120. Thus, it can be concluded that the second hypothesis, namely financial distress has a positive effect on tax avoidance, is accepted (H2 accepted).</w:t>
      </w:r>
    </w:p>
    <w:p w14:paraId="4342920A" w14:textId="260817A2" w:rsidR="00B724E1" w:rsidRPr="00275C12" w:rsidRDefault="00B724E1" w:rsidP="00B724E1">
      <w:pPr>
        <w:pStyle w:val="ListParagraph"/>
        <w:numPr>
          <w:ilvl w:val="0"/>
          <w:numId w:val="40"/>
        </w:numPr>
        <w:tabs>
          <w:tab w:val="left" w:pos="284"/>
        </w:tabs>
        <w:spacing w:after="0" w:line="240" w:lineRule="auto"/>
        <w:ind w:left="284" w:hanging="284"/>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The sales growth coefficient (X3) is -0.693061 which indicates that if the sales growth value increases by 1%, the value of tax avoidance will decrease by -0.693061. And vice versa. Then, the significance value of the sales growth variable in the t test table produces a number of 0.1413 which is greater than 0.05 so it can be concluded that the third hypothesis which states that sales growth has a positive effect on tax avoidance is rejected (H3 rejected).</w:t>
      </w:r>
    </w:p>
    <w:p w14:paraId="39C36913" w14:textId="77777777" w:rsidR="00EE6553" w:rsidRPr="00275C12" w:rsidRDefault="00EE6553" w:rsidP="00B724E1">
      <w:pPr>
        <w:pStyle w:val="ListParagraph"/>
        <w:tabs>
          <w:tab w:val="left" w:pos="284"/>
        </w:tabs>
        <w:spacing w:after="0" w:line="240" w:lineRule="auto"/>
        <w:ind w:left="0" w:firstLine="0"/>
        <w:rPr>
          <w:rFonts w:ascii="Nirmala UI Semilight" w:eastAsia="Times New Roman" w:hAnsi="Nirmala UI Semilight" w:cs="Nirmala UI Semilight"/>
          <w:i/>
          <w:iCs/>
        </w:rPr>
      </w:pPr>
    </w:p>
    <w:p w14:paraId="2C2F9D4C" w14:textId="3DD09987" w:rsidR="00035F38" w:rsidRPr="00275C12" w:rsidRDefault="00B724E1" w:rsidP="00035F38">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sidRPr="00275C12">
        <w:rPr>
          <w:rFonts w:ascii="Nirmala UI Semilight" w:eastAsia="Times New Roman" w:hAnsi="Nirmala UI Semilight" w:cs="Nirmala UI Semilight"/>
          <w:i/>
          <w:iCs/>
          <w:color w:val="auto"/>
          <w:sz w:val="22"/>
          <w:szCs w:val="22"/>
        </w:rPr>
        <w:t>Discussion</w:t>
      </w:r>
    </w:p>
    <w:p w14:paraId="6699F92C" w14:textId="468EE43C" w:rsidR="00035F38" w:rsidRPr="00275C12" w:rsidRDefault="00B724E1" w:rsidP="003D3739">
      <w:pPr>
        <w:pStyle w:val="ListParagraph"/>
        <w:tabs>
          <w:tab w:val="left" w:pos="284"/>
        </w:tabs>
        <w:spacing w:after="0" w:line="240" w:lineRule="auto"/>
        <w:ind w:left="0" w:firstLine="0"/>
        <w:rPr>
          <w:rFonts w:ascii="Nirmala UI Semilight" w:eastAsia="Times New Roman" w:hAnsi="Nirmala UI Semilight" w:cs="Nirmala UI Semilight"/>
          <w:b/>
          <w:bCs/>
          <w:i/>
          <w:iCs/>
        </w:rPr>
      </w:pPr>
      <w:r w:rsidRPr="00275C12">
        <w:rPr>
          <w:rFonts w:ascii="Nirmala UI Semilight" w:eastAsia="Times New Roman" w:hAnsi="Nirmala UI Semilight" w:cs="Nirmala UI Semilight"/>
          <w:b/>
          <w:bCs/>
        </w:rPr>
        <w:t>The Effect of CEO Tenure on Tax Avoidance</w:t>
      </w:r>
    </w:p>
    <w:p w14:paraId="5DA3B4C8" w14:textId="08A75B0E" w:rsidR="003D3739" w:rsidRPr="00275C12" w:rsidRDefault="003D3739" w:rsidP="003D3739">
      <w:pPr>
        <w:tabs>
          <w:tab w:val="left" w:pos="284"/>
        </w:tabs>
        <w:spacing w:after="0" w:line="240" w:lineRule="auto"/>
        <w:ind w:left="0" w:firstLine="0"/>
        <w:rPr>
          <w:rFonts w:ascii="Nirmala UI Semilight" w:eastAsia="Times New Roman" w:hAnsi="Nirmala UI Semilight" w:cs="Nirmala UI Semilight"/>
        </w:rPr>
      </w:pPr>
      <w:r w:rsidRPr="00275C12">
        <w:rPr>
          <w:rFonts w:ascii="Nirmala UI Semilight" w:eastAsia="Times New Roman" w:hAnsi="Nirmala UI Semilight" w:cs="Nirmala UI Semilight"/>
        </w:rPr>
        <w:tab/>
        <w:t>The results of testing the first hypothesis show that CEO tenure has no effect on tax avoidance (p-value 0.0967&gt; 0.05; t-statistic 1.685641), so the hypothesis is rejected. This finding is consistent with the research of Noviawan &amp; Utamie (2020) which also proves that CEO tenure does not affect tax avoidance practices. CEOs with longer tenure tend to focus on improving long-term performance through utilizing company assets, maintaining reputation, and avoiding the risk of dealing with tax authorities (Ali &amp; Zhang, 2015; Nursida et al., 2022). This is in line with agency theory, where the CEO as an agent tries to maintain the trust of the principal through strategies oriented towards corporate sustainability, not on reducing the tax burden.</w:t>
      </w:r>
    </w:p>
    <w:p w14:paraId="0D2A4139" w14:textId="780F93D5" w:rsidR="003D3739" w:rsidRPr="00275C12" w:rsidRDefault="003D3739" w:rsidP="003D3739">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rPr>
        <w:tab/>
        <w:t>However, this result is not in line with positive accounting theory that emphasizes the opportunistic behavior of CEOs in choosing accounting policies that can reduce the tax burden. Some previous studies even found different results, such as Ulfa et al. (2021) which showed a positive effect, and Doho &amp; Santoso (2020) who found a negative effect. Thus, the effect of CEO tenure on tax avoidance still shows mixed results in the literature.</w:t>
      </w:r>
    </w:p>
    <w:p w14:paraId="2356E726" w14:textId="77777777" w:rsidR="003D3739" w:rsidRPr="00275C12" w:rsidRDefault="003D3739">
      <w:pPr>
        <w:tabs>
          <w:tab w:val="left" w:pos="284"/>
        </w:tabs>
        <w:spacing w:after="0" w:line="240" w:lineRule="auto"/>
        <w:ind w:left="0" w:firstLine="0"/>
        <w:rPr>
          <w:rFonts w:ascii="Nirmala UI Semilight" w:eastAsia="Times New Roman" w:hAnsi="Nirmala UI Semilight" w:cs="Nirmala UI Semilight"/>
          <w:color w:val="000000"/>
        </w:rPr>
      </w:pPr>
    </w:p>
    <w:p w14:paraId="7758E0EE" w14:textId="60D4E23D" w:rsidR="003D3739" w:rsidRPr="00275C12" w:rsidRDefault="003D3739">
      <w:pPr>
        <w:tabs>
          <w:tab w:val="left" w:pos="284"/>
        </w:tabs>
        <w:spacing w:after="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The Effect of Financial Distress on Tax Avoidance</w:t>
      </w:r>
    </w:p>
    <w:p w14:paraId="62E26EE7" w14:textId="026EAAC1" w:rsidR="003D3739" w:rsidRPr="00275C12" w:rsidRDefault="003D3739" w:rsidP="003D3739">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The results of testing the second hypothesis show that financial distress has a positive effect on tax avoidance (p-value 0.0126 &lt;0.05; t-statistic 2.565284; coefficient 0.781120). This means that the higher the level of financial distress experienced by the company, the greater the tendency of the company to avoid taxes, and vice versa. Thus, the second hypothesis (H2) is accepted. This finding is consistent with the research of Sadjiarto et al. (2020) and Dang &amp; Tran (2021) which also prove the positive effect of financial distress on tax avoidance practices. Financial distress conditions encourage companies to look for ways to save costs, including through tax avoidance, as a strategy to maintain business continuity and reduce the risk of bankruptcy.</w:t>
      </w:r>
    </w:p>
    <w:p w14:paraId="27298E3A" w14:textId="5B5FB9FB" w:rsidR="003D3739" w:rsidRPr="00275C12" w:rsidRDefault="003D3739" w:rsidP="003D3739">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 xml:space="preserve">Theoretically, these results support Positive Accounting Theory, which explains that managers with opportunistic nature will use flexibility in accounting policies to reduce fiscal profit and tax burden (political cost) when the company faces financial pressure. However, the </w:t>
      </w:r>
      <w:r w:rsidRPr="00275C12">
        <w:rPr>
          <w:rFonts w:ascii="Nirmala UI Semilight" w:eastAsia="Times New Roman" w:hAnsi="Nirmala UI Semilight" w:cs="Nirmala UI Semilight"/>
          <w:color w:val="000000"/>
        </w:rPr>
        <w:lastRenderedPageBreak/>
        <w:t>findings of this study are not in line with Ariff et al. (2020) who found a negative effect of financial distress on tax avoidance, thus showing differences in results in related literature.</w:t>
      </w:r>
    </w:p>
    <w:p w14:paraId="035183B1" w14:textId="77777777" w:rsidR="003D3739" w:rsidRPr="00275C12" w:rsidRDefault="003D3739">
      <w:pPr>
        <w:tabs>
          <w:tab w:val="left" w:pos="284"/>
        </w:tabs>
        <w:spacing w:after="0" w:line="240" w:lineRule="auto"/>
        <w:ind w:left="0" w:firstLine="0"/>
        <w:rPr>
          <w:rFonts w:ascii="Nirmala UI Semilight" w:eastAsia="Times New Roman" w:hAnsi="Nirmala UI Semilight" w:cs="Nirmala UI Semilight"/>
          <w:color w:val="000000"/>
        </w:rPr>
      </w:pPr>
    </w:p>
    <w:p w14:paraId="17870373" w14:textId="7214AF7E" w:rsidR="003D3739" w:rsidRPr="00275C12" w:rsidRDefault="003D3739">
      <w:pPr>
        <w:tabs>
          <w:tab w:val="left" w:pos="284"/>
        </w:tabs>
        <w:spacing w:after="0" w:line="240" w:lineRule="auto"/>
        <w:ind w:left="0" w:firstLine="0"/>
        <w:rPr>
          <w:rFonts w:ascii="Nirmala UI Semilight" w:eastAsia="Times New Roman" w:hAnsi="Nirmala UI Semilight" w:cs="Nirmala UI Semilight"/>
          <w:b/>
          <w:bCs/>
          <w:color w:val="000000"/>
        </w:rPr>
      </w:pPr>
      <w:r w:rsidRPr="00275C12">
        <w:rPr>
          <w:rFonts w:ascii="Nirmala UI Semilight" w:eastAsia="Times New Roman" w:hAnsi="Nirmala UI Semilight" w:cs="Nirmala UI Semilight"/>
          <w:b/>
          <w:bCs/>
          <w:color w:val="000000"/>
        </w:rPr>
        <w:t>The Effect of Sales Growth on Tax Avoidance</w:t>
      </w:r>
    </w:p>
    <w:p w14:paraId="37DBCB85" w14:textId="77777777" w:rsidR="003D3739" w:rsidRPr="00275C12" w:rsidRDefault="003D3739" w:rsidP="003D3739">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The results of testing the third hypothesis show that sales growth has no effect on tax avoidance (regression coefficient -0.693061; t-statistic -1.489180; significance 0.1413&gt; 0.05). Thus, the third hypothesis (H3) is rejected. This finding is in line with Hermi &amp; Petrawati's research (2023) which also found that sales growth does not affect tax avoidance practices. An increase in sales growth reflects a healthy financial condition and the company's ability to generate greater profits. However, this increase does not have direct implications for tax avoidance practices, because every company still has an obligation to pay taxes both when the sales level rises and falls (Noveliza &amp; Crismonica, 2021).</w:t>
      </w:r>
    </w:p>
    <w:p w14:paraId="4A69549F" w14:textId="7D523441" w:rsidR="003D3739" w:rsidRPr="00275C12" w:rsidRDefault="003D3739" w:rsidP="003D3739">
      <w:pPr>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Theoretically, this result does not support Positive Accounting Theory, which assumes that managers act opportunistically when sales increase with the aim of reducing political costs in the form of tax burdens. Instead, companies with high sales performance generally have a better capacity to fulfill tax obligations (Sembiring &amp; Sa'adah, 2021). Furthermore, consistent sales growth will increase the size of the company, resulting in stricter supervision from the public, including shareholders. This is in accordance with agency theory, where managers maintain the trust of capital owners by avoiding tax avoidance practices in order to maximize profits and protect the company's reputation (Apriliani &amp; Wulandari, 2023). The findings of this study differ from the research of Fauzan et al. (2019) and Afrianti et al. (2022) which concluded that sales growth has a positive effect on tax avoidance.</w:t>
      </w:r>
    </w:p>
    <w:p w14:paraId="43A82075" w14:textId="77777777" w:rsidR="003D3739" w:rsidRPr="00275C12" w:rsidRDefault="003D3739">
      <w:pPr>
        <w:tabs>
          <w:tab w:val="left" w:pos="284"/>
        </w:tabs>
        <w:spacing w:after="0" w:line="240" w:lineRule="auto"/>
        <w:ind w:left="0" w:firstLine="0"/>
        <w:rPr>
          <w:rFonts w:ascii="Nirmala UI Semilight" w:eastAsia="Times New Roman" w:hAnsi="Nirmala UI Semilight" w:cs="Nirmala UI Semilight"/>
          <w:color w:val="000000"/>
        </w:rPr>
      </w:pPr>
    </w:p>
    <w:p w14:paraId="5A2A765D" w14:textId="77777777" w:rsidR="00A13CC2" w:rsidRPr="00275C12" w:rsidRDefault="00000000">
      <w:pPr>
        <w:pStyle w:val="Heading1"/>
        <w:numPr>
          <w:ilvl w:val="0"/>
          <w:numId w:val="22"/>
        </w:numPr>
        <w:tabs>
          <w:tab w:val="left" w:pos="284"/>
        </w:tabs>
        <w:spacing w:before="120" w:beforeAutospacing="0" w:after="120" w:afterAutospacing="0"/>
        <w:ind w:left="0" w:firstLine="0"/>
        <w:rPr>
          <w:rFonts w:ascii="Nirmala UI Semilight" w:hAnsi="Nirmala UI Semilight" w:cs="Nirmala UI Semilight"/>
          <w:sz w:val="22"/>
          <w:szCs w:val="22"/>
        </w:rPr>
      </w:pPr>
      <w:r w:rsidRPr="00275C12">
        <w:rPr>
          <w:rFonts w:ascii="Nirmala UI Semilight" w:hAnsi="Nirmala UI Semilight" w:cs="Nirmala UI Semilight"/>
          <w:sz w:val="22"/>
          <w:szCs w:val="22"/>
        </w:rPr>
        <w:t>CONCLUSION</w:t>
      </w:r>
    </w:p>
    <w:p w14:paraId="163CE7A2" w14:textId="77777777" w:rsidR="00705C29" w:rsidRPr="00275C12" w:rsidRDefault="00000000" w:rsidP="00705C29">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r>
      <w:r w:rsidR="00705C29" w:rsidRPr="00275C12">
        <w:rPr>
          <w:rFonts w:ascii="Nirmala UI Semilight" w:eastAsia="Times New Roman" w:hAnsi="Nirmala UI Semilight" w:cs="Nirmala UI Semilight"/>
          <w:color w:val="000000"/>
        </w:rPr>
        <w:t>This study aims to examine the determinants of tax avoidance in consumer non-cyclicals companies listed on the Indonesia Stock Exchange in 2020-2022, in total there are 102 samples with 34 companies and three years of observation period. This study was conducted to empirically prove the factors that can affect tax avoidance, namely CEO tenure, financial distress, and sales growth.</w:t>
      </w:r>
    </w:p>
    <w:p w14:paraId="398EE494" w14:textId="75417CEB" w:rsidR="00705C29" w:rsidRPr="00275C12" w:rsidRDefault="00705C29" w:rsidP="00705C29">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75C12">
        <w:rPr>
          <w:rFonts w:ascii="Nirmala UI Semilight" w:eastAsia="Times New Roman" w:hAnsi="Nirmala UI Semilight" w:cs="Nirmala UI Semilight"/>
          <w:color w:val="000000"/>
        </w:rPr>
        <w:tab/>
        <w:t>Based on the results of the panel data regression that has been carried out, a simultaneous effect test is obtained which shows that the three independent variables do not simultaneously have an influence on tax avoidance. Then, based on the test results in this study, it is concluded that the financial distress variable has a positive influence on tax avoidance. This proves that companies with worse financial distress conditions will increase tax avoidance practices.</w:t>
      </w:r>
    </w:p>
    <w:p w14:paraId="2A0BA4C7" w14:textId="39E3DA7B" w:rsidR="00A13CC2" w:rsidRPr="00275C12" w:rsidRDefault="00705C29" w:rsidP="00705C29">
      <w:pPr>
        <w:pStyle w:val="ListParagraph"/>
        <w:tabs>
          <w:tab w:val="left" w:pos="284"/>
        </w:tabs>
        <w:spacing w:after="0" w:line="240" w:lineRule="auto"/>
        <w:ind w:left="0" w:firstLine="0"/>
        <w:contextualSpacing w:val="0"/>
        <w:rPr>
          <w:rFonts w:ascii="Nirmala UI Semilight" w:hAnsi="Nirmala UI Semilight" w:cs="Nirmala UI Semilight"/>
          <w:color w:val="000000"/>
        </w:rPr>
      </w:pPr>
      <w:r w:rsidRPr="00275C12">
        <w:rPr>
          <w:rFonts w:ascii="Nirmala UI Semilight" w:eastAsia="Times New Roman" w:hAnsi="Nirmala UI Semilight" w:cs="Nirmala UI Semilight"/>
          <w:color w:val="000000"/>
        </w:rPr>
        <w:t>The test results on the CEO tenure variable prove that CEO tenure has no influence on tax avoidance. This shows that the length of CEO tenure does not affect the increase in tax avoidance practices. Furthermore, the sales growth variable proves that sales growth has no effect on tax avoidance. This shows that an increase in sales growth does not affect companies to practice tax avoidance.</w:t>
      </w:r>
    </w:p>
    <w:p w14:paraId="1BBD3BB7" w14:textId="77777777" w:rsidR="001B782E" w:rsidRPr="00275C12" w:rsidRDefault="001B782E" w:rsidP="005F5927">
      <w:pPr>
        <w:pStyle w:val="NormalWeb"/>
        <w:spacing w:before="0" w:beforeAutospacing="0" w:after="0" w:afterAutospacing="0"/>
        <w:rPr>
          <w:rFonts w:ascii="Nirmala UI Semilight" w:hAnsi="Nirmala UI Semilight" w:cs="Nirmala UI Semilight"/>
          <w:sz w:val="22"/>
          <w:szCs w:val="22"/>
        </w:rPr>
      </w:pPr>
    </w:p>
    <w:p w14:paraId="45A891A7" w14:textId="77777777" w:rsidR="00A13CC2" w:rsidRPr="00275C1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275C12">
        <w:rPr>
          <w:rFonts w:ascii="Nirmala UI Semilight" w:hAnsi="Nirmala UI Semilight" w:cs="Nirmala UI Semilight"/>
          <w:sz w:val="22"/>
          <w:szCs w:val="22"/>
        </w:rPr>
        <w:t>ACKNOWLEDGEMENT</w:t>
      </w:r>
    </w:p>
    <w:p w14:paraId="6EE89A04" w14:textId="77777777" w:rsidR="00A13CC2" w:rsidRPr="00275C12" w:rsidRDefault="00000000">
      <w:pPr>
        <w:pStyle w:val="NormalWeb"/>
        <w:spacing w:before="0" w:beforeAutospacing="0" w:after="0" w:afterAutospacing="0"/>
        <w:ind w:firstLine="340"/>
        <w:jc w:val="both"/>
        <w:rPr>
          <w:rFonts w:ascii="Nirmala UI Semilight" w:hAnsi="Nirmala UI Semilight" w:cs="Nirmala UI Semilight"/>
          <w:sz w:val="22"/>
          <w:szCs w:val="22"/>
        </w:rPr>
      </w:pPr>
      <w:r w:rsidRPr="00275C12">
        <w:rPr>
          <w:rFonts w:ascii="Nirmala UI Semilight" w:hAnsi="Nirmala UI Semilight" w:cs="Nirmala UI Semilight"/>
          <w:sz w:val="22"/>
          <w:szCs w:val="22"/>
        </w:rPr>
        <w:t>The author would like to express gratitude to all the people who have helped in the completion of this study.</w:t>
      </w:r>
    </w:p>
    <w:p w14:paraId="6C69904C" w14:textId="77777777" w:rsidR="0093773A" w:rsidRDefault="0093773A" w:rsidP="00F0189E">
      <w:pPr>
        <w:pStyle w:val="NormalWeb"/>
        <w:spacing w:before="0" w:beforeAutospacing="0" w:after="0" w:afterAutospacing="0"/>
        <w:jc w:val="center"/>
        <w:rPr>
          <w:rFonts w:ascii="Nirmala UI Semilight" w:hAnsi="Nirmala UI Semilight" w:cs="Nirmala UI Semilight"/>
          <w:sz w:val="22"/>
          <w:szCs w:val="22"/>
        </w:rPr>
      </w:pPr>
    </w:p>
    <w:p w14:paraId="2162B455" w14:textId="77777777" w:rsidR="0022079F" w:rsidRPr="00275C12" w:rsidRDefault="0022079F" w:rsidP="00F0189E">
      <w:pPr>
        <w:pStyle w:val="NormalWeb"/>
        <w:spacing w:before="0" w:beforeAutospacing="0" w:after="0" w:afterAutospacing="0"/>
        <w:jc w:val="center"/>
        <w:rPr>
          <w:rFonts w:ascii="Nirmala UI Semilight" w:hAnsi="Nirmala UI Semilight" w:cs="Nirmala UI Semilight"/>
          <w:sz w:val="22"/>
          <w:szCs w:val="22"/>
        </w:rPr>
      </w:pPr>
    </w:p>
    <w:p w14:paraId="28D1B5C3" w14:textId="77777777" w:rsidR="00A13CC2" w:rsidRPr="00275C1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275C12">
        <w:rPr>
          <w:rFonts w:ascii="Nirmala UI Semilight" w:hAnsi="Nirmala UI Semilight" w:cs="Nirmala UI Semilight"/>
          <w:sz w:val="22"/>
          <w:szCs w:val="22"/>
        </w:rPr>
        <w:lastRenderedPageBreak/>
        <w:t>REFERENCES</w:t>
      </w:r>
    </w:p>
    <w:p w14:paraId="71B7FB3C"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Afrianti, F., Uzliawati, L., &amp; Noorida, A. S. (2022). The effect of leverage, capital intensity, and sales growth on tax avoidance with independent commissioners as moderating variables (empirical study on manufacturing companies listed on the Indonesia stock exchange in 2017–2020). </w:t>
      </w:r>
      <w:r w:rsidRPr="0022079F">
        <w:rPr>
          <w:rFonts w:ascii="Nirmala UI Semilight" w:eastAsia="Times New Roman" w:hAnsi="Nirmala UI Semilight" w:cs="Nirmala UI Semilight"/>
          <w:i/>
          <w:iCs/>
          <w:lang w:val="en-ID"/>
        </w:rPr>
        <w:t>International Journal of Science, 3</w:t>
      </w:r>
      <w:r w:rsidRPr="0022079F">
        <w:rPr>
          <w:rFonts w:ascii="Nirmala UI Semilight" w:eastAsia="Times New Roman" w:hAnsi="Nirmala UI Semilight" w:cs="Nirmala UI Semilight"/>
          <w:lang w:val="en-ID"/>
        </w:rPr>
        <w:t xml:space="preserve">(2), 337–348. </w:t>
      </w:r>
      <w:hyperlink r:id="rId9" w:tgtFrame="_new" w:history="1">
        <w:r w:rsidRPr="0022079F">
          <w:rPr>
            <w:rStyle w:val="Hyperlink"/>
            <w:rFonts w:ascii="Nirmala UI Semilight" w:eastAsia="Times New Roman" w:hAnsi="Nirmala UI Semilight" w:cs="Nirmala UI Semilight"/>
            <w:lang w:val="en-ID"/>
          </w:rPr>
          <w:t>http://ijstm.inarah.co.id</w:t>
        </w:r>
      </w:hyperlink>
    </w:p>
    <w:p w14:paraId="3A2E103A"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Belkaoui, A. R. (2000). </w:t>
      </w:r>
      <w:r w:rsidRPr="0022079F">
        <w:rPr>
          <w:rFonts w:ascii="Nirmala UI Semilight" w:eastAsia="Times New Roman" w:hAnsi="Nirmala UI Semilight" w:cs="Nirmala UI Semilight"/>
          <w:i/>
          <w:iCs/>
          <w:lang w:val="en-ID"/>
        </w:rPr>
        <w:t>Accounting theory</w:t>
      </w:r>
      <w:r w:rsidRPr="0022079F">
        <w:rPr>
          <w:rFonts w:ascii="Nirmala UI Semilight" w:eastAsia="Times New Roman" w:hAnsi="Nirmala UI Semilight" w:cs="Nirmala UI Semilight"/>
          <w:lang w:val="en-ID"/>
        </w:rPr>
        <w:t xml:space="preserve"> (4th ed., M. Mawata et al., Trans.). Salemba Empat.</w:t>
      </w:r>
    </w:p>
    <w:p w14:paraId="14315C69"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Akbar, Z., Irawati, W., Wulandari, R., &amp; Barli, H. (2020). Analisis profitabilitas, leverage, sales growth dan kepemilikan keluarga terhadap penghindaran pajak. </w:t>
      </w:r>
      <w:r w:rsidRPr="0022079F">
        <w:rPr>
          <w:rFonts w:ascii="Nirmala UI Semilight" w:eastAsia="Times New Roman" w:hAnsi="Nirmala UI Semilight" w:cs="Nirmala UI Semilight"/>
          <w:i/>
          <w:iCs/>
          <w:lang w:val="en-ID"/>
        </w:rPr>
        <w:t>Jurnal Akuntansi Kajian Ilmiah Akuntansi (JAK), 7</w:t>
      </w:r>
      <w:r w:rsidRPr="0022079F">
        <w:rPr>
          <w:rFonts w:ascii="Nirmala UI Semilight" w:eastAsia="Times New Roman" w:hAnsi="Nirmala UI Semilight" w:cs="Nirmala UI Semilight"/>
          <w:lang w:val="en-ID"/>
        </w:rPr>
        <w:t xml:space="preserve">(2), 190–199. </w:t>
      </w:r>
      <w:hyperlink r:id="rId10" w:tgtFrame="_new" w:history="1">
        <w:r w:rsidRPr="0022079F">
          <w:rPr>
            <w:rStyle w:val="Hyperlink"/>
            <w:rFonts w:ascii="Nirmala UI Semilight" w:eastAsia="Times New Roman" w:hAnsi="Nirmala UI Semilight" w:cs="Nirmala UI Semilight"/>
            <w:lang w:val="en-ID"/>
          </w:rPr>
          <w:t>https://doi.org/10.30656/jak.v7i2.2307</w:t>
        </w:r>
      </w:hyperlink>
    </w:p>
    <w:p w14:paraId="44B2EBBB"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Ali, A., &amp; Zhang, W. (2015). CEO tenure and earnings management. </w:t>
      </w:r>
      <w:r w:rsidRPr="0022079F">
        <w:rPr>
          <w:rFonts w:ascii="Nirmala UI Semilight" w:eastAsia="Times New Roman" w:hAnsi="Nirmala UI Semilight" w:cs="Nirmala UI Semilight"/>
          <w:i/>
          <w:iCs/>
          <w:lang w:val="en-ID"/>
        </w:rPr>
        <w:t>Journal of Accounting and Economics, 59</w:t>
      </w:r>
      <w:r w:rsidRPr="0022079F">
        <w:rPr>
          <w:rFonts w:ascii="Nirmala UI Semilight" w:eastAsia="Times New Roman" w:hAnsi="Nirmala UI Semilight" w:cs="Nirmala UI Semilight"/>
          <w:lang w:val="en-ID"/>
        </w:rPr>
        <w:t>(1), 60–79.</w:t>
      </w:r>
    </w:p>
    <w:p w14:paraId="1F0A38A1"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Apriliani, L., &amp; Wulandari, S. (2023). Pengaruh koneksi politik, kepemilikan manajerial dan pertumbuhan penjualan terhadap penghindaran pajak. </w:t>
      </w:r>
      <w:r w:rsidRPr="0022079F">
        <w:rPr>
          <w:rFonts w:ascii="Nirmala UI Semilight" w:eastAsia="Times New Roman" w:hAnsi="Nirmala UI Semilight" w:cs="Nirmala UI Semilight"/>
          <w:i/>
          <w:iCs/>
          <w:lang w:val="en-ID"/>
        </w:rPr>
        <w:t>Jurnal Manajemen dan Sains, 8</w:t>
      </w:r>
      <w:r w:rsidRPr="0022079F">
        <w:rPr>
          <w:rFonts w:ascii="Nirmala UI Semilight" w:eastAsia="Times New Roman" w:hAnsi="Nirmala UI Semilight" w:cs="Nirmala UI Semilight"/>
          <w:lang w:val="en-ID"/>
        </w:rPr>
        <w:t xml:space="preserve">(1), 40–48. </w:t>
      </w:r>
      <w:hyperlink r:id="rId11" w:tgtFrame="_new" w:history="1">
        <w:r w:rsidRPr="0022079F">
          <w:rPr>
            <w:rStyle w:val="Hyperlink"/>
            <w:rFonts w:ascii="Nirmala UI Semilight" w:eastAsia="Times New Roman" w:hAnsi="Nirmala UI Semilight" w:cs="Nirmala UI Semilight"/>
            <w:lang w:val="en-ID"/>
          </w:rPr>
          <w:t>https://doi.org/10.33087/jmas.v8i1.902</w:t>
        </w:r>
      </w:hyperlink>
    </w:p>
    <w:p w14:paraId="662B4E34"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Ariff, A. M., Ismail, W. A. W., Kamarudin, K. A., &amp; Suffian, M. T. M. (2023). Financial distress and tax avoidance: The moderating effect of the COVID-19 pandemic. </w:t>
      </w:r>
      <w:r w:rsidRPr="0022079F">
        <w:rPr>
          <w:rFonts w:ascii="Nirmala UI Semilight" w:eastAsia="Times New Roman" w:hAnsi="Nirmala UI Semilight" w:cs="Nirmala UI Semilight"/>
          <w:i/>
          <w:iCs/>
          <w:lang w:val="en-ID"/>
        </w:rPr>
        <w:t>Asian Journal of Accounting Research, 8</w:t>
      </w:r>
      <w:r w:rsidRPr="0022079F">
        <w:rPr>
          <w:rFonts w:ascii="Nirmala UI Semilight" w:eastAsia="Times New Roman" w:hAnsi="Nirmala UI Semilight" w:cs="Nirmala UI Semilight"/>
          <w:lang w:val="en-ID"/>
        </w:rPr>
        <w:t xml:space="preserve">(3), 279–292. </w:t>
      </w:r>
      <w:hyperlink r:id="rId12" w:tgtFrame="_new" w:history="1">
        <w:r w:rsidRPr="0022079F">
          <w:rPr>
            <w:rStyle w:val="Hyperlink"/>
            <w:rFonts w:ascii="Nirmala UI Semilight" w:eastAsia="Times New Roman" w:hAnsi="Nirmala UI Semilight" w:cs="Nirmala UI Semilight"/>
            <w:lang w:val="en-ID"/>
          </w:rPr>
          <w:t>https://doi.org/10.1108/ajar-10-2022-0347</w:t>
        </w:r>
      </w:hyperlink>
    </w:p>
    <w:p w14:paraId="2664194D"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Astutik, D., &amp; Venusita, L. (2020). The influence of CEO’s demographic characteristics on tax aggressiveness in family firm. </w:t>
      </w:r>
      <w:r w:rsidRPr="0022079F">
        <w:rPr>
          <w:rFonts w:ascii="Nirmala UI Semilight" w:eastAsia="Times New Roman" w:hAnsi="Nirmala UI Semilight" w:cs="Nirmala UI Semilight"/>
          <w:i/>
          <w:iCs/>
          <w:lang w:val="en-ID"/>
        </w:rPr>
        <w:t>Jurnal Akuntansi dan Keuangan, 22</w:t>
      </w:r>
      <w:r w:rsidRPr="0022079F">
        <w:rPr>
          <w:rFonts w:ascii="Nirmala UI Semilight" w:eastAsia="Times New Roman" w:hAnsi="Nirmala UI Semilight" w:cs="Nirmala UI Semilight"/>
          <w:lang w:val="en-ID"/>
        </w:rPr>
        <w:t xml:space="preserve">(1), 1–9. </w:t>
      </w:r>
      <w:hyperlink r:id="rId13" w:tgtFrame="_new" w:history="1">
        <w:r w:rsidRPr="0022079F">
          <w:rPr>
            <w:rStyle w:val="Hyperlink"/>
            <w:rFonts w:ascii="Nirmala UI Semilight" w:eastAsia="Times New Roman" w:hAnsi="Nirmala UI Semilight" w:cs="Nirmala UI Semilight"/>
            <w:lang w:val="en-ID"/>
          </w:rPr>
          <w:t>https://doi.org/10.9744/jak.22.1.1-9</w:t>
        </w:r>
      </w:hyperlink>
    </w:p>
    <w:p w14:paraId="692B74D7"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Basuki, A. T., &amp; Prawoto, N. (2016). </w:t>
      </w:r>
      <w:r w:rsidRPr="0022079F">
        <w:rPr>
          <w:rFonts w:ascii="Nirmala UI Semilight" w:eastAsia="Times New Roman" w:hAnsi="Nirmala UI Semilight" w:cs="Nirmala UI Semilight"/>
          <w:i/>
          <w:iCs/>
          <w:lang w:val="en-ID"/>
        </w:rPr>
        <w:t>Analisis regresi dalam penelitian ekonomi dan bisnis: Dilengkapi aplikasi SPSS dan Eviews</w:t>
      </w:r>
      <w:r w:rsidRPr="0022079F">
        <w:rPr>
          <w:rFonts w:ascii="Nirmala UI Semilight" w:eastAsia="Times New Roman" w:hAnsi="Nirmala UI Semilight" w:cs="Nirmala UI Semilight"/>
          <w:lang w:val="en-ID"/>
        </w:rPr>
        <w:t>. PT Raja Grafindo Persada.</w:t>
      </w:r>
    </w:p>
    <w:p w14:paraId="432E3C17"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Bougie, R., &amp; Sekaran, U. (2019). </w:t>
      </w:r>
      <w:r w:rsidRPr="0022079F">
        <w:rPr>
          <w:rFonts w:ascii="Nirmala UI Semilight" w:eastAsia="Times New Roman" w:hAnsi="Nirmala UI Semilight" w:cs="Nirmala UI Semilight"/>
          <w:i/>
          <w:iCs/>
          <w:lang w:val="en-ID"/>
        </w:rPr>
        <w:t>Research methods for business</w:t>
      </w:r>
      <w:r w:rsidRPr="0022079F">
        <w:rPr>
          <w:rFonts w:ascii="Nirmala UI Semilight" w:eastAsia="Times New Roman" w:hAnsi="Nirmala UI Semilight" w:cs="Nirmala UI Semilight"/>
          <w:lang w:val="en-ID"/>
        </w:rPr>
        <w:t xml:space="preserve"> (8th ed.). Wiley.</w:t>
      </w:r>
    </w:p>
    <w:p w14:paraId="5FC40BFB"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Brigham, E. F., &amp; Daves, P. R. (2014). </w:t>
      </w:r>
      <w:r w:rsidRPr="0022079F">
        <w:rPr>
          <w:rFonts w:ascii="Nirmala UI Semilight" w:eastAsia="Times New Roman" w:hAnsi="Nirmala UI Semilight" w:cs="Nirmala UI Semilight"/>
          <w:i/>
          <w:iCs/>
          <w:lang w:val="en-ID"/>
        </w:rPr>
        <w:t>Intermediate financial management</w:t>
      </w:r>
      <w:r w:rsidRPr="0022079F">
        <w:rPr>
          <w:rFonts w:ascii="Nirmala UI Semilight" w:eastAsia="Times New Roman" w:hAnsi="Nirmala UI Semilight" w:cs="Nirmala UI Semilight"/>
          <w:lang w:val="en-ID"/>
        </w:rPr>
        <w:t>. Cengage Learning.</w:t>
      </w:r>
    </w:p>
    <w:p w14:paraId="7F0C7CEA"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Budiasih, Y., &amp; Rusung, F. C. (2019). Potret keuangan di era industri 4.0: Pengaruh cash flow, leverage, dan profitabilitas terhadap tax avoidance pada perusahaan tekstil dan garmen di Bursa Efek Indonesia (BEI) periode 2012–2017. </w:t>
      </w:r>
      <w:r w:rsidRPr="0022079F">
        <w:rPr>
          <w:rFonts w:ascii="Nirmala UI Semilight" w:eastAsia="Times New Roman" w:hAnsi="Nirmala UI Semilight" w:cs="Nirmala UI Semilight"/>
          <w:i/>
          <w:iCs/>
          <w:lang w:val="en-ID"/>
        </w:rPr>
        <w:t>Goodwill: Jurnal Penelitian Akuntansi, 1</w:t>
      </w:r>
      <w:r w:rsidRPr="0022079F">
        <w:rPr>
          <w:rFonts w:ascii="Nirmala UI Semilight" w:eastAsia="Times New Roman" w:hAnsi="Nirmala UI Semilight" w:cs="Nirmala UI Semilight"/>
          <w:lang w:val="en-ID"/>
        </w:rPr>
        <w:t>(1), 50–58.</w:t>
      </w:r>
    </w:p>
    <w:p w14:paraId="1D2109F5"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Cahyono, Y. T. (2017). Analisis faktor-faktor yang mempengaruhi penerimaan pajak (Studi empirik di Kantor Pelayanan Pajak Pratama Surakarta). </w:t>
      </w:r>
      <w:r w:rsidRPr="0022079F">
        <w:rPr>
          <w:rFonts w:ascii="Nirmala UI Semilight" w:eastAsia="Times New Roman" w:hAnsi="Nirmala UI Semilight" w:cs="Nirmala UI Semilight"/>
          <w:i/>
          <w:iCs/>
          <w:lang w:val="en-ID"/>
        </w:rPr>
        <w:t>Riset Akuntansi dan Keuangan Indonesia, 2</w:t>
      </w:r>
      <w:r w:rsidRPr="0022079F">
        <w:rPr>
          <w:rFonts w:ascii="Nirmala UI Semilight" w:eastAsia="Times New Roman" w:hAnsi="Nirmala UI Semilight" w:cs="Nirmala UI Semilight"/>
          <w:lang w:val="en-ID"/>
        </w:rPr>
        <w:t>(2), 163–175.</w:t>
      </w:r>
    </w:p>
    <w:p w14:paraId="1787B3AE"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Chen, S., Chen, X., &amp; Shevlin, T. (2010). Are family firms more tax aggressive than nonfamily firms? </w:t>
      </w:r>
      <w:r w:rsidRPr="0022079F">
        <w:rPr>
          <w:rFonts w:ascii="Nirmala UI Semilight" w:eastAsia="Times New Roman" w:hAnsi="Nirmala UI Semilight" w:cs="Nirmala UI Semilight"/>
          <w:i/>
          <w:iCs/>
          <w:lang w:val="en-ID"/>
        </w:rPr>
        <w:t>Journal of Financial Economics, 91</w:t>
      </w:r>
      <w:r w:rsidRPr="0022079F">
        <w:rPr>
          <w:rFonts w:ascii="Nirmala UI Semilight" w:eastAsia="Times New Roman" w:hAnsi="Nirmala UI Semilight" w:cs="Nirmala UI Semilight"/>
          <w:lang w:val="en-ID"/>
        </w:rPr>
        <w:t>(1), 414–431.</w:t>
      </w:r>
    </w:p>
    <w:p w14:paraId="4C04CC1D"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Chyz, J. A., &amp; Gaertner, F. (2018). Can paying “too much” or “too little” tax contribute to forced CEO turnover? </w:t>
      </w:r>
      <w:r w:rsidRPr="0022079F">
        <w:rPr>
          <w:rFonts w:ascii="Nirmala UI Semilight" w:eastAsia="Times New Roman" w:hAnsi="Nirmala UI Semilight" w:cs="Nirmala UI Semilight"/>
          <w:i/>
          <w:iCs/>
          <w:lang w:val="en-ID"/>
        </w:rPr>
        <w:t>The Accounting Review, 93</w:t>
      </w:r>
      <w:r w:rsidRPr="0022079F">
        <w:rPr>
          <w:rFonts w:ascii="Nirmala UI Semilight" w:eastAsia="Times New Roman" w:hAnsi="Nirmala UI Semilight" w:cs="Nirmala UI Semilight"/>
          <w:lang w:val="en-ID"/>
        </w:rPr>
        <w:t>(1), 103–130.</w:t>
      </w:r>
    </w:p>
    <w:p w14:paraId="6F174D53"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Crutchley, C. E., &amp; Hansen, R. S. (1989). Agency theory of corporate ownership, managerial corporate dividends leverage, and corporate dividends. </w:t>
      </w:r>
      <w:r w:rsidRPr="0022079F">
        <w:rPr>
          <w:rFonts w:ascii="Nirmala UI Semilight" w:eastAsia="Times New Roman" w:hAnsi="Nirmala UI Semilight" w:cs="Nirmala UI Semilight"/>
          <w:i/>
          <w:iCs/>
          <w:lang w:val="en-ID"/>
        </w:rPr>
        <w:t>Financial Management, 18</w:t>
      </w:r>
      <w:r w:rsidRPr="0022079F">
        <w:rPr>
          <w:rFonts w:ascii="Nirmala UI Semilight" w:eastAsia="Times New Roman" w:hAnsi="Nirmala UI Semilight" w:cs="Nirmala UI Semilight"/>
          <w:lang w:val="en-ID"/>
        </w:rPr>
        <w:t>(4), 36–46.</w:t>
      </w:r>
    </w:p>
    <w:p w14:paraId="6BFE4C5B"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Dang, V. C., &amp; Tran, X. H. (2021). The impact of financial distress on tax avoidance: An empirical analysis of Vietnamese listed companies. </w:t>
      </w:r>
      <w:r w:rsidRPr="0022079F">
        <w:rPr>
          <w:rFonts w:ascii="Nirmala UI Semilight" w:eastAsia="Times New Roman" w:hAnsi="Nirmala UI Semilight" w:cs="Nirmala UI Semilight"/>
          <w:i/>
          <w:iCs/>
          <w:lang w:val="en-ID"/>
        </w:rPr>
        <w:t>Cogent Business &amp; Management, 8</w:t>
      </w:r>
      <w:r w:rsidRPr="0022079F">
        <w:rPr>
          <w:rFonts w:ascii="Nirmala UI Semilight" w:eastAsia="Times New Roman" w:hAnsi="Nirmala UI Semilight" w:cs="Nirmala UI Semilight"/>
          <w:lang w:val="en-ID"/>
        </w:rPr>
        <w:t xml:space="preserve">(1), 1953678. </w:t>
      </w:r>
      <w:hyperlink r:id="rId14" w:tgtFrame="_new" w:history="1">
        <w:r w:rsidRPr="0022079F">
          <w:rPr>
            <w:rStyle w:val="Hyperlink"/>
            <w:rFonts w:ascii="Nirmala UI Semilight" w:eastAsia="Times New Roman" w:hAnsi="Nirmala UI Semilight" w:cs="Nirmala UI Semilight"/>
            <w:lang w:val="en-ID"/>
          </w:rPr>
          <w:t>https://doi.org/10.1080/23311975.2021.1953678</w:t>
        </w:r>
      </w:hyperlink>
    </w:p>
    <w:p w14:paraId="15C42BC8"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Deegan, C. (2014). </w:t>
      </w:r>
      <w:r w:rsidRPr="0022079F">
        <w:rPr>
          <w:rFonts w:ascii="Nirmala UI Semilight" w:eastAsia="Times New Roman" w:hAnsi="Nirmala UI Semilight" w:cs="Nirmala UI Semilight"/>
          <w:i/>
          <w:iCs/>
          <w:lang w:val="en-ID"/>
        </w:rPr>
        <w:t>Financial accounting theory</w:t>
      </w:r>
      <w:r w:rsidRPr="0022079F">
        <w:rPr>
          <w:rFonts w:ascii="Nirmala UI Semilight" w:eastAsia="Times New Roman" w:hAnsi="Nirmala UI Semilight" w:cs="Nirmala UI Semilight"/>
          <w:lang w:val="en-ID"/>
        </w:rPr>
        <w:t>. McGraw-Hill Education.</w:t>
      </w:r>
    </w:p>
    <w:p w14:paraId="21D060B7"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lastRenderedPageBreak/>
        <w:t xml:space="preserve">Doho, S. Z., &amp; Santoso, E. B. (2020). Pengaruh karakteristik CEO, komisaris independen, dan kualitas audit terhadap penghindaran pajak. </w:t>
      </w:r>
      <w:r w:rsidRPr="0022079F">
        <w:rPr>
          <w:rFonts w:ascii="Nirmala UI Semilight" w:eastAsia="Times New Roman" w:hAnsi="Nirmala UI Semilight" w:cs="Nirmala UI Semilight"/>
          <w:i/>
          <w:iCs/>
          <w:lang w:val="en-ID"/>
        </w:rPr>
        <w:t>Media Akuntansi dan Perpajakan Indonesia, 1</w:t>
      </w:r>
      <w:r w:rsidRPr="0022079F">
        <w:rPr>
          <w:rFonts w:ascii="Nirmala UI Semilight" w:eastAsia="Times New Roman" w:hAnsi="Nirmala UI Semilight" w:cs="Nirmala UI Semilight"/>
          <w:lang w:val="en-ID"/>
        </w:rPr>
        <w:t>(2), 169–184.</w:t>
      </w:r>
    </w:p>
    <w:p w14:paraId="521B03C7"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Fama, E. F., &amp; Jensen, M. C. (1983). Separation of ownership and control. </w:t>
      </w:r>
      <w:r w:rsidRPr="0022079F">
        <w:rPr>
          <w:rFonts w:ascii="Nirmala UI Semilight" w:eastAsia="Times New Roman" w:hAnsi="Nirmala UI Semilight" w:cs="Nirmala UI Semilight"/>
          <w:i/>
          <w:iCs/>
          <w:lang w:val="en-ID"/>
        </w:rPr>
        <w:t>Journal of Law and Economics, 26</w:t>
      </w:r>
      <w:r w:rsidRPr="0022079F">
        <w:rPr>
          <w:rFonts w:ascii="Nirmala UI Semilight" w:eastAsia="Times New Roman" w:hAnsi="Nirmala UI Semilight" w:cs="Nirmala UI Semilight"/>
          <w:lang w:val="en-ID"/>
        </w:rPr>
        <w:t>(2), 301–325.</w:t>
      </w:r>
    </w:p>
    <w:p w14:paraId="716CC514"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Fauzan, F., Ayu, D., &amp; Nurharjanti, N. N. (2019). The effect of audit committee, leverage, return on assets, company size, and sales growth on tax avoidance. </w:t>
      </w:r>
      <w:r w:rsidRPr="0022079F">
        <w:rPr>
          <w:rFonts w:ascii="Nirmala UI Semilight" w:eastAsia="Times New Roman" w:hAnsi="Nirmala UI Semilight" w:cs="Nirmala UI Semilight"/>
          <w:i/>
          <w:iCs/>
          <w:lang w:val="en-ID"/>
        </w:rPr>
        <w:t>Jurnal Akuntansi dan Keuangan, 4</w:t>
      </w:r>
      <w:r w:rsidRPr="0022079F">
        <w:rPr>
          <w:rFonts w:ascii="Nirmala UI Semilight" w:eastAsia="Times New Roman" w:hAnsi="Nirmala UI Semilight" w:cs="Nirmala UI Semilight"/>
          <w:lang w:val="en-ID"/>
        </w:rPr>
        <w:t xml:space="preserve">(3), 171–185. </w:t>
      </w:r>
      <w:hyperlink r:id="rId15" w:tgtFrame="_new" w:history="1">
        <w:r w:rsidRPr="0022079F">
          <w:rPr>
            <w:rStyle w:val="Hyperlink"/>
            <w:rFonts w:ascii="Nirmala UI Semilight" w:eastAsia="Times New Roman" w:hAnsi="Nirmala UI Semilight" w:cs="Nirmala UI Semilight"/>
            <w:lang w:val="en-ID"/>
          </w:rPr>
          <w:t>https://doi.org/10.23917/reaksi.v4i3.9338</w:t>
        </w:r>
      </w:hyperlink>
    </w:p>
    <w:p w14:paraId="74D17DA8"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Hanlon, M., Heitzman, S., Mills, L., Omer, T., Rego, S., Shackelford, D., Shevlin, T., Slemrod, J., Smith, C., Weber, D., Wilson, R., Zimmerman, J., &amp; Zodrow, G. (2010). A review of tax research. </w:t>
      </w:r>
      <w:r w:rsidRPr="0022079F">
        <w:rPr>
          <w:rFonts w:ascii="Nirmala UI Semilight" w:eastAsia="Times New Roman" w:hAnsi="Nirmala UI Semilight" w:cs="Nirmala UI Semilight"/>
          <w:i/>
          <w:iCs/>
          <w:lang w:val="en-ID"/>
        </w:rPr>
        <w:t>Journal of Accounting and Economics, 50</w:t>
      </w:r>
      <w:r w:rsidRPr="0022079F">
        <w:rPr>
          <w:rFonts w:ascii="Nirmala UI Semilight" w:eastAsia="Times New Roman" w:hAnsi="Nirmala UI Semilight" w:cs="Nirmala UI Semilight"/>
          <w:lang w:val="en-ID"/>
        </w:rPr>
        <w:t xml:space="preserve">(2–3), 127–178. </w:t>
      </w:r>
      <w:hyperlink r:id="rId16" w:tgtFrame="_new" w:history="1">
        <w:r w:rsidRPr="0022079F">
          <w:rPr>
            <w:rStyle w:val="Hyperlink"/>
            <w:rFonts w:ascii="Nirmala UI Semilight" w:eastAsia="Times New Roman" w:hAnsi="Nirmala UI Semilight" w:cs="Nirmala UI Semilight"/>
            <w:lang w:val="en-ID"/>
          </w:rPr>
          <w:t>https://doi.org/10.1016/j.jacceco.2010.09.002</w:t>
        </w:r>
      </w:hyperlink>
    </w:p>
    <w:p w14:paraId="23CE9DBA"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Hermi, H., &amp; Petrawati, P. (2023). The effect of management compensation, thin capitalization and sales growth on tax avoidance with institutional ownership as moderation. </w:t>
      </w:r>
      <w:r w:rsidRPr="0022079F">
        <w:rPr>
          <w:rFonts w:ascii="Nirmala UI Semilight" w:eastAsia="Times New Roman" w:hAnsi="Nirmala UI Semilight" w:cs="Nirmala UI Semilight"/>
          <w:i/>
          <w:iCs/>
          <w:lang w:val="en-ID"/>
        </w:rPr>
        <w:t>Media Riset Akuntansi, Auditing &amp; Informasi, 23</w:t>
      </w:r>
      <w:r w:rsidRPr="0022079F">
        <w:rPr>
          <w:rFonts w:ascii="Nirmala UI Semilight" w:eastAsia="Times New Roman" w:hAnsi="Nirmala UI Semilight" w:cs="Nirmala UI Semilight"/>
          <w:lang w:val="en-ID"/>
        </w:rPr>
        <w:t xml:space="preserve">(1), 1–14. </w:t>
      </w:r>
      <w:hyperlink r:id="rId17" w:tgtFrame="_new" w:history="1">
        <w:r w:rsidRPr="0022079F">
          <w:rPr>
            <w:rStyle w:val="Hyperlink"/>
            <w:rFonts w:ascii="Nirmala UI Semilight" w:eastAsia="Times New Roman" w:hAnsi="Nirmala UI Semilight" w:cs="Nirmala UI Semilight"/>
            <w:lang w:val="en-ID"/>
          </w:rPr>
          <w:t>https://doi.org/10.25105/mraai.v23i1.16790</w:t>
        </w:r>
      </w:hyperlink>
    </w:p>
    <w:p w14:paraId="4885C09C"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Hoffman, W. H. (1961). The theory of tax planning. </w:t>
      </w:r>
      <w:r w:rsidRPr="0022079F">
        <w:rPr>
          <w:rFonts w:ascii="Nirmala UI Semilight" w:eastAsia="Times New Roman" w:hAnsi="Nirmala UI Semilight" w:cs="Nirmala UI Semilight"/>
          <w:i/>
          <w:iCs/>
          <w:lang w:val="en-ID"/>
        </w:rPr>
        <w:t>The Accounting Review, 36</w:t>
      </w:r>
      <w:r w:rsidRPr="0022079F">
        <w:rPr>
          <w:rFonts w:ascii="Nirmala UI Semilight" w:eastAsia="Times New Roman" w:hAnsi="Nirmala UI Semilight" w:cs="Nirmala UI Semilight"/>
          <w:lang w:val="en-ID"/>
        </w:rPr>
        <w:t xml:space="preserve">(2), 274–281. </w:t>
      </w:r>
      <w:hyperlink r:id="rId18" w:tgtFrame="_new" w:history="1">
        <w:r w:rsidRPr="0022079F">
          <w:rPr>
            <w:rStyle w:val="Hyperlink"/>
            <w:rFonts w:ascii="Nirmala UI Semilight" w:eastAsia="Times New Roman" w:hAnsi="Nirmala UI Semilight" w:cs="Nirmala UI Semilight"/>
            <w:lang w:val="en-ID"/>
          </w:rPr>
          <w:t>http://www.jstor.org/stable/243232</w:t>
        </w:r>
      </w:hyperlink>
    </w:p>
    <w:p w14:paraId="4E3B0AEB"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Jensen, M. C., &amp; Meckling, W. H. (1976). Theory of the firm: Managerial behavior, agency costs and ownership structure. </w:t>
      </w:r>
      <w:r w:rsidRPr="0022079F">
        <w:rPr>
          <w:rFonts w:ascii="Nirmala UI Semilight" w:eastAsia="Times New Roman" w:hAnsi="Nirmala UI Semilight" w:cs="Nirmala UI Semilight"/>
          <w:i/>
          <w:iCs/>
          <w:lang w:val="en-ID"/>
        </w:rPr>
        <w:t>Journal of Financial Economics, 3</w:t>
      </w:r>
      <w:r w:rsidRPr="0022079F">
        <w:rPr>
          <w:rFonts w:ascii="Nirmala UI Semilight" w:eastAsia="Times New Roman" w:hAnsi="Nirmala UI Semilight" w:cs="Nirmala UI Semilight"/>
          <w:lang w:val="en-ID"/>
        </w:rPr>
        <w:t xml:space="preserve">(4), 305–360. </w:t>
      </w:r>
      <w:hyperlink r:id="rId19" w:tgtFrame="_new" w:history="1">
        <w:r w:rsidRPr="0022079F">
          <w:rPr>
            <w:rStyle w:val="Hyperlink"/>
            <w:rFonts w:ascii="Nirmala UI Semilight" w:eastAsia="Times New Roman" w:hAnsi="Nirmala UI Semilight" w:cs="Nirmala UI Semilight"/>
            <w:lang w:val="en-ID"/>
          </w:rPr>
          <w:t>https://doi.org/10.1016/0304-405X(76)90026-X</w:t>
        </w:r>
      </w:hyperlink>
    </w:p>
    <w:p w14:paraId="4A1EC8F0"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Jusman, J., &amp; Nosita, F. (2020). Pengaruh corporate governance, capital intensity dan profitabilitas terhadap tax avoidance pada sektor pertambangan. </w:t>
      </w:r>
      <w:r w:rsidRPr="0022079F">
        <w:rPr>
          <w:rFonts w:ascii="Nirmala UI Semilight" w:eastAsia="Times New Roman" w:hAnsi="Nirmala UI Semilight" w:cs="Nirmala UI Semilight"/>
          <w:i/>
          <w:iCs/>
          <w:lang w:val="en-ID"/>
        </w:rPr>
        <w:t>Jurnal Ilmiah Universitas Batanghari Jambi, 20</w:t>
      </w:r>
      <w:r w:rsidRPr="0022079F">
        <w:rPr>
          <w:rFonts w:ascii="Nirmala UI Semilight" w:eastAsia="Times New Roman" w:hAnsi="Nirmala UI Semilight" w:cs="Nirmala UI Semilight"/>
          <w:lang w:val="en-ID"/>
        </w:rPr>
        <w:t xml:space="preserve">(2), 697–704. </w:t>
      </w:r>
      <w:hyperlink r:id="rId20" w:tgtFrame="_new" w:history="1">
        <w:r w:rsidRPr="0022079F">
          <w:rPr>
            <w:rStyle w:val="Hyperlink"/>
            <w:rFonts w:ascii="Nirmala UI Semilight" w:eastAsia="Times New Roman" w:hAnsi="Nirmala UI Semilight" w:cs="Nirmala UI Semilight"/>
            <w:lang w:val="en-ID"/>
          </w:rPr>
          <w:t>https://doi.org/10.33087/jiubj.v20i2.997</w:t>
        </w:r>
      </w:hyperlink>
    </w:p>
    <w:p w14:paraId="1A0F8ACA"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Kasmir. (2016). </w:t>
      </w:r>
      <w:r w:rsidRPr="0022079F">
        <w:rPr>
          <w:rFonts w:ascii="Nirmala UI Semilight" w:eastAsia="Times New Roman" w:hAnsi="Nirmala UI Semilight" w:cs="Nirmala UI Semilight"/>
          <w:i/>
          <w:iCs/>
          <w:lang w:val="en-ID"/>
        </w:rPr>
        <w:t>Analisis laporan keuangan</w:t>
      </w:r>
      <w:r w:rsidRPr="0022079F">
        <w:rPr>
          <w:rFonts w:ascii="Nirmala UI Semilight" w:eastAsia="Times New Roman" w:hAnsi="Nirmala UI Semilight" w:cs="Nirmala UI Semilight"/>
          <w:lang w:val="en-ID"/>
        </w:rPr>
        <w:t>. Raja Grafindo Persada.</w:t>
      </w:r>
    </w:p>
    <w:p w14:paraId="614C1490"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Lietz, G. (2013). Tax avoidance vs. tax aggressiveness. </w:t>
      </w:r>
      <w:r w:rsidRPr="0022079F">
        <w:rPr>
          <w:rFonts w:ascii="Nirmala UI Semilight" w:eastAsia="Times New Roman" w:hAnsi="Nirmala UI Semilight" w:cs="Nirmala UI Semilight"/>
          <w:i/>
          <w:iCs/>
          <w:lang w:val="en-ID"/>
        </w:rPr>
        <w:t>Working Paper</w:t>
      </w:r>
      <w:r w:rsidRPr="0022079F">
        <w:rPr>
          <w:rFonts w:ascii="Nirmala UI Semilight" w:eastAsia="Times New Roman" w:hAnsi="Nirmala UI Semilight" w:cs="Nirmala UI Semilight"/>
          <w:lang w:val="en-ID"/>
        </w:rPr>
        <w:t>.</w:t>
      </w:r>
    </w:p>
    <w:p w14:paraId="3EBDC675"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Noviawan, L. A., &amp; Utamie, D. N. (2020). Pengaruh managerial tenure terhadap tax avoidance. </w:t>
      </w:r>
      <w:r w:rsidRPr="0022079F">
        <w:rPr>
          <w:rFonts w:ascii="Nirmala UI Semilight" w:eastAsia="Times New Roman" w:hAnsi="Nirmala UI Semilight" w:cs="Nirmala UI Semilight"/>
          <w:i/>
          <w:iCs/>
          <w:lang w:val="en-ID"/>
        </w:rPr>
        <w:t>Jurnal Studi Akuntansi dan Keuangan, 3</w:t>
      </w:r>
      <w:r w:rsidRPr="0022079F">
        <w:rPr>
          <w:rFonts w:ascii="Nirmala UI Semilight" w:eastAsia="Times New Roman" w:hAnsi="Nirmala UI Semilight" w:cs="Nirmala UI Semilight"/>
          <w:lang w:val="en-ID"/>
        </w:rPr>
        <w:t xml:space="preserve">(1), 1–14. </w:t>
      </w:r>
      <w:hyperlink r:id="rId21" w:tgtFrame="_new" w:history="1">
        <w:r w:rsidRPr="0022079F">
          <w:rPr>
            <w:rStyle w:val="Hyperlink"/>
            <w:rFonts w:ascii="Nirmala UI Semilight" w:eastAsia="Times New Roman" w:hAnsi="Nirmala UI Semilight" w:cs="Nirmala UI Semilight"/>
            <w:lang w:val="en-ID"/>
          </w:rPr>
          <w:t>https://doi.org/10.29303/akurasi.v3i1.24</w:t>
        </w:r>
      </w:hyperlink>
    </w:p>
    <w:p w14:paraId="117350CC"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Nursida, N., &amp; Pratami, Y. (2022). Pengaruh CEO tenure, multinasional company, intensitas aset tetap dan ukuran perusahaan terhadap tax avoidance. </w:t>
      </w:r>
      <w:r w:rsidRPr="0022079F">
        <w:rPr>
          <w:rFonts w:ascii="Nirmala UI Semilight" w:eastAsia="Times New Roman" w:hAnsi="Nirmala UI Semilight" w:cs="Nirmala UI Semilight"/>
          <w:i/>
          <w:iCs/>
          <w:lang w:val="en-ID"/>
        </w:rPr>
        <w:t>Jurnal Ilmiah Manajemen, Ekonomi, &amp; Akuntansi (MEA), 6</w:t>
      </w:r>
      <w:r w:rsidRPr="0022079F">
        <w:rPr>
          <w:rFonts w:ascii="Nirmala UI Semilight" w:eastAsia="Times New Roman" w:hAnsi="Nirmala UI Semilight" w:cs="Nirmala UI Semilight"/>
          <w:lang w:val="en-ID"/>
        </w:rPr>
        <w:t xml:space="preserve">(3), 1921–1940. </w:t>
      </w:r>
      <w:hyperlink r:id="rId22" w:tgtFrame="_new" w:history="1">
        <w:r w:rsidRPr="0022079F">
          <w:rPr>
            <w:rStyle w:val="Hyperlink"/>
            <w:rFonts w:ascii="Nirmala UI Semilight" w:eastAsia="Times New Roman" w:hAnsi="Nirmala UI Semilight" w:cs="Nirmala UI Semilight"/>
            <w:lang w:val="en-ID"/>
          </w:rPr>
          <w:t>https://doi.org/10.31955/mea.v6i3.2683</w:t>
        </w:r>
      </w:hyperlink>
    </w:p>
    <w:p w14:paraId="0FEF50DE"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Noveliza, D., &amp; Crismonica, S. (2021). Faktor yang mendorong melakukan tax avoidance. </w:t>
      </w:r>
      <w:r w:rsidRPr="0022079F">
        <w:rPr>
          <w:rFonts w:ascii="Nirmala UI Semilight" w:eastAsia="Times New Roman" w:hAnsi="Nirmala UI Semilight" w:cs="Nirmala UI Semilight"/>
          <w:i/>
          <w:iCs/>
          <w:lang w:val="en-ID"/>
        </w:rPr>
        <w:t>Mediastima, 27</w:t>
      </w:r>
      <w:r w:rsidRPr="0022079F">
        <w:rPr>
          <w:rFonts w:ascii="Nirmala UI Semilight" w:eastAsia="Times New Roman" w:hAnsi="Nirmala UI Semilight" w:cs="Nirmala UI Semilight"/>
          <w:lang w:val="en-ID"/>
        </w:rPr>
        <w:t xml:space="preserve">(2), 182–193. </w:t>
      </w:r>
      <w:hyperlink r:id="rId23" w:tgtFrame="_new" w:history="1">
        <w:r w:rsidRPr="0022079F">
          <w:rPr>
            <w:rStyle w:val="Hyperlink"/>
            <w:rFonts w:ascii="Nirmala UI Semilight" w:eastAsia="Times New Roman" w:hAnsi="Nirmala UI Semilight" w:cs="Nirmala UI Semilight"/>
            <w:lang w:val="en-ID"/>
          </w:rPr>
          <w:t>https://doi.org/10.55122/mediastima.v27i2.293</w:t>
        </w:r>
      </w:hyperlink>
    </w:p>
    <w:p w14:paraId="6AFE154F"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Nurahmad, K. P. (2023). Press release: Jumlah perusahaan tercatat di BEI melampaui angka 900. IDX. </w:t>
      </w:r>
      <w:hyperlink r:id="rId24" w:tgtFrame="_new" w:history="1">
        <w:r w:rsidRPr="0022079F">
          <w:rPr>
            <w:rStyle w:val="Hyperlink"/>
            <w:rFonts w:ascii="Nirmala UI Semilight" w:eastAsia="Times New Roman" w:hAnsi="Nirmala UI Semilight" w:cs="Nirmala UI Semilight"/>
            <w:lang w:val="en-ID"/>
          </w:rPr>
          <w:t>https://www.idx.co.id/id/berita/siaran-pers/2061</w:t>
        </w:r>
      </w:hyperlink>
    </w:p>
    <w:p w14:paraId="30846E89"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Platt, H., &amp; Platt, M. B. (2002). Predicting financial distress. </w:t>
      </w:r>
      <w:r w:rsidRPr="0022079F">
        <w:rPr>
          <w:rFonts w:ascii="Nirmala UI Semilight" w:eastAsia="Times New Roman" w:hAnsi="Nirmala UI Semilight" w:cs="Nirmala UI Semilight"/>
          <w:i/>
          <w:iCs/>
          <w:lang w:val="en-ID"/>
        </w:rPr>
        <w:t>Journal of Financial Service Professionals, 56</w:t>
      </w:r>
      <w:r w:rsidRPr="0022079F">
        <w:rPr>
          <w:rFonts w:ascii="Nirmala UI Semilight" w:eastAsia="Times New Roman" w:hAnsi="Nirmala UI Semilight" w:cs="Nirmala UI Semilight"/>
          <w:lang w:val="en-ID"/>
        </w:rPr>
        <w:t>(2), 12–15.</w:t>
      </w:r>
    </w:p>
    <w:p w14:paraId="63915AE7"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Pohan, C. A. (2017). </w:t>
      </w:r>
      <w:r w:rsidRPr="0022079F">
        <w:rPr>
          <w:rFonts w:ascii="Nirmala UI Semilight" w:eastAsia="Times New Roman" w:hAnsi="Nirmala UI Semilight" w:cs="Nirmala UI Semilight"/>
          <w:i/>
          <w:iCs/>
          <w:lang w:val="en-ID"/>
        </w:rPr>
        <w:t>Manajemen perpajakan: Strategi perencanaan pajak dan bisnis</w:t>
      </w:r>
      <w:r w:rsidRPr="0022079F">
        <w:rPr>
          <w:rFonts w:ascii="Nirmala UI Semilight" w:eastAsia="Times New Roman" w:hAnsi="Nirmala UI Semilight" w:cs="Nirmala UI Semilight"/>
          <w:lang w:val="en-ID"/>
        </w:rPr>
        <w:t>. Gramedia Pustaka Utama.</w:t>
      </w:r>
    </w:p>
    <w:p w14:paraId="5A5947A7"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Puspitasari, J., &amp; Haqi, F. (2017). Pengaruh penghindaran pajak dan risiko kebangkrutan terhadap biaya utang pada perusahaan sub sektor makanan dan minuman yang terdaftar di Bursa Efek Indonesia periode 2013–2017. </w:t>
      </w:r>
      <w:r w:rsidRPr="0022079F">
        <w:rPr>
          <w:rFonts w:ascii="Nirmala UI Semilight" w:eastAsia="Times New Roman" w:hAnsi="Nirmala UI Semilight" w:cs="Nirmala UI Semilight"/>
          <w:i/>
          <w:iCs/>
          <w:lang w:val="en-ID"/>
        </w:rPr>
        <w:t>Jurnal Universitas Pakuan, 5</w:t>
      </w:r>
      <w:r w:rsidRPr="0022079F">
        <w:rPr>
          <w:rFonts w:ascii="Nirmala UI Semilight" w:eastAsia="Times New Roman" w:hAnsi="Nirmala UI Semilight" w:cs="Nirmala UI Semilight"/>
          <w:lang w:val="en-ID"/>
        </w:rPr>
        <w:t>(2).</w:t>
      </w:r>
    </w:p>
    <w:p w14:paraId="2E1EB58C"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lastRenderedPageBreak/>
        <w:t xml:space="preserve">Rego, S. O. (2003). Tax reporting aggressiveness and its relation to aggressive financial reporting. </w:t>
      </w:r>
      <w:r w:rsidRPr="0022079F">
        <w:rPr>
          <w:rFonts w:ascii="Nirmala UI Semilight" w:eastAsia="Times New Roman" w:hAnsi="Nirmala UI Semilight" w:cs="Nirmala UI Semilight"/>
          <w:i/>
          <w:iCs/>
          <w:lang w:val="en-ID"/>
        </w:rPr>
        <w:t>The Accounting Review, 78</w:t>
      </w:r>
      <w:r w:rsidRPr="0022079F">
        <w:rPr>
          <w:rFonts w:ascii="Nirmala UI Semilight" w:eastAsia="Times New Roman" w:hAnsi="Nirmala UI Semilight" w:cs="Nirmala UI Semilight"/>
          <w:lang w:val="en-ID"/>
        </w:rPr>
        <w:t>(2), 467–496.</w:t>
      </w:r>
    </w:p>
    <w:p w14:paraId="6B279A91"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Ross, S. A. (1973). The economic theory of agency: The principal’s problem. </w:t>
      </w:r>
      <w:r w:rsidRPr="0022079F">
        <w:rPr>
          <w:rFonts w:ascii="Nirmala UI Semilight" w:eastAsia="Times New Roman" w:hAnsi="Nirmala UI Semilight" w:cs="Nirmala UI Semilight"/>
          <w:i/>
          <w:iCs/>
          <w:lang w:val="en-ID"/>
        </w:rPr>
        <w:t>The American Economic Review, 63</w:t>
      </w:r>
      <w:r w:rsidRPr="0022079F">
        <w:rPr>
          <w:rFonts w:ascii="Nirmala UI Semilight" w:eastAsia="Times New Roman" w:hAnsi="Nirmala UI Semilight" w:cs="Nirmala UI Semilight"/>
          <w:lang w:val="en-ID"/>
        </w:rPr>
        <w:t>(2), 134–139.</w:t>
      </w:r>
    </w:p>
    <w:p w14:paraId="69619D4A"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Sadjiarto, A., Hartanto, S., &amp; Octaviana, S. (2020). Analysis of the effect of business strategy and financial distress on tax avoidance. </w:t>
      </w:r>
      <w:r w:rsidRPr="0022079F">
        <w:rPr>
          <w:rFonts w:ascii="Nirmala UI Semilight" w:eastAsia="Times New Roman" w:hAnsi="Nirmala UI Semilight" w:cs="Nirmala UI Semilight"/>
          <w:i/>
          <w:iCs/>
          <w:lang w:val="en-ID"/>
        </w:rPr>
        <w:t>Journal of Economics and Business, 3</w:t>
      </w:r>
      <w:r w:rsidRPr="0022079F">
        <w:rPr>
          <w:rFonts w:ascii="Nirmala UI Semilight" w:eastAsia="Times New Roman" w:hAnsi="Nirmala UI Semilight" w:cs="Nirmala UI Semilight"/>
          <w:lang w:val="en-ID"/>
        </w:rPr>
        <w:t xml:space="preserve">(1), 238–246. </w:t>
      </w:r>
      <w:hyperlink r:id="rId25" w:tgtFrame="_new" w:history="1">
        <w:r w:rsidRPr="0022079F">
          <w:rPr>
            <w:rStyle w:val="Hyperlink"/>
            <w:rFonts w:ascii="Nirmala UI Semilight" w:eastAsia="Times New Roman" w:hAnsi="Nirmala UI Semilight" w:cs="Nirmala UI Semilight"/>
            <w:lang w:val="en-ID"/>
          </w:rPr>
          <w:t>https://doi.org/10.31014/aior.1992.03.01.193</w:t>
        </w:r>
      </w:hyperlink>
    </w:p>
    <w:p w14:paraId="60DC2062"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Saragih, A. H. (2018). Pengaruh penerimaan pajak terhadap pertumbuhan ekonomi di Indonesia. </w:t>
      </w:r>
      <w:r w:rsidRPr="0022079F">
        <w:rPr>
          <w:rFonts w:ascii="Nirmala UI Semilight" w:eastAsia="Times New Roman" w:hAnsi="Nirmala UI Semilight" w:cs="Nirmala UI Semilight"/>
          <w:i/>
          <w:iCs/>
          <w:lang w:val="en-ID"/>
        </w:rPr>
        <w:t>Jurnal Sikap, 3</w:t>
      </w:r>
      <w:r w:rsidRPr="0022079F">
        <w:rPr>
          <w:rFonts w:ascii="Nirmala UI Semilight" w:eastAsia="Times New Roman" w:hAnsi="Nirmala UI Semilight" w:cs="Nirmala UI Semilight"/>
          <w:lang w:val="en-ID"/>
        </w:rPr>
        <w:t>(1), 17–27.</w:t>
      </w:r>
    </w:p>
    <w:p w14:paraId="77D33D25"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Sari, R. P. (2018). Analisis perbandingan model Altman, Springate dan Zmijewski dalam memprediksi kebangkrutan. </w:t>
      </w:r>
      <w:r w:rsidRPr="0022079F">
        <w:rPr>
          <w:rFonts w:ascii="Nirmala UI Semilight" w:eastAsia="Times New Roman" w:hAnsi="Nirmala UI Semilight" w:cs="Nirmala UI Semilight"/>
          <w:i/>
          <w:iCs/>
          <w:lang w:val="en-ID"/>
        </w:rPr>
        <w:t>Aktual, 3</w:t>
      </w:r>
      <w:r w:rsidRPr="0022079F">
        <w:rPr>
          <w:rFonts w:ascii="Nirmala UI Semilight" w:eastAsia="Times New Roman" w:hAnsi="Nirmala UI Semilight" w:cs="Nirmala UI Semilight"/>
          <w:lang w:val="en-ID"/>
        </w:rPr>
        <w:t>(1).</w:t>
      </w:r>
    </w:p>
    <w:p w14:paraId="7DDDA3B5"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Sembiring, S. S., &amp; Sa’adah, L. (2021). Pengaruh ukuran perusahaan, profitabilitas, dan pertumbuhan penjualan terhadap tax avoidance. </w:t>
      </w:r>
      <w:r w:rsidRPr="0022079F">
        <w:rPr>
          <w:rFonts w:ascii="Nirmala UI Semilight" w:eastAsia="Times New Roman" w:hAnsi="Nirmala UI Semilight" w:cs="Nirmala UI Semilight"/>
          <w:i/>
          <w:iCs/>
          <w:lang w:val="en-ID"/>
        </w:rPr>
        <w:t>Jurnal Manajemen Dirgantara, 14</w:t>
      </w:r>
      <w:r w:rsidRPr="0022079F">
        <w:rPr>
          <w:rFonts w:ascii="Nirmala UI Semilight" w:eastAsia="Times New Roman" w:hAnsi="Nirmala UI Semilight" w:cs="Nirmala UI Semilight"/>
          <w:lang w:val="en-ID"/>
        </w:rPr>
        <w:t>(2), 188–195.</w:t>
      </w:r>
    </w:p>
    <w:p w14:paraId="3ADE4CEB"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Seto, B. A., &amp; Trisnaningsih, S. (2021). Penggunaan model Altman Z-score, Springate, Zmijewski dan Grover dalam memprediksi financial distress. </w:t>
      </w:r>
      <w:r w:rsidRPr="0022079F">
        <w:rPr>
          <w:rFonts w:ascii="Nirmala UI Semilight" w:eastAsia="Times New Roman" w:hAnsi="Nirmala UI Semilight" w:cs="Nirmala UI Semilight"/>
          <w:i/>
          <w:iCs/>
          <w:lang w:val="en-ID"/>
        </w:rPr>
        <w:t>Prosiding Senapan, 1</w:t>
      </w:r>
      <w:r w:rsidRPr="0022079F">
        <w:rPr>
          <w:rFonts w:ascii="Nirmala UI Semilight" w:eastAsia="Times New Roman" w:hAnsi="Nirmala UI Semilight" w:cs="Nirmala UI Semilight"/>
          <w:lang w:val="en-ID"/>
        </w:rPr>
        <w:t>(2), 754–769.</w:t>
      </w:r>
    </w:p>
    <w:p w14:paraId="7D399814"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Sindonews. (2020, November 15). Dirjen Pajak menang, Japfa Comfeed wajib bayar tunggakan PPh Rp23,9 miliar. </w:t>
      </w:r>
      <w:r w:rsidRPr="0022079F">
        <w:rPr>
          <w:rFonts w:ascii="Nirmala UI Semilight" w:eastAsia="Times New Roman" w:hAnsi="Nirmala UI Semilight" w:cs="Nirmala UI Semilight"/>
          <w:i/>
          <w:iCs/>
          <w:lang w:val="en-ID"/>
        </w:rPr>
        <w:t>SINDOnews Nasional</w:t>
      </w:r>
      <w:r w:rsidRPr="0022079F">
        <w:rPr>
          <w:rFonts w:ascii="Nirmala UI Semilight" w:eastAsia="Times New Roman" w:hAnsi="Nirmala UI Semilight" w:cs="Nirmala UI Semilight"/>
          <w:lang w:val="en-ID"/>
        </w:rPr>
        <w:t>. https://nasional.sindonews.com/read/233022/13/dirjen-pajak-menang-japfa-comfeed-wajib-bayar-tunggakan-pph-rp239-miliar-1605442265</w:t>
      </w:r>
    </w:p>
    <w:p w14:paraId="258C26C3"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Ulfa, E. K., Suprapti, E., &amp; Latifah, S. W. (2021). The effect of CEO tenure, capital intensity, and firm size on tax avoidance. </w:t>
      </w:r>
      <w:r w:rsidRPr="0022079F">
        <w:rPr>
          <w:rFonts w:ascii="Nirmala UI Semilight" w:eastAsia="Times New Roman" w:hAnsi="Nirmala UI Semilight" w:cs="Nirmala UI Semilight"/>
          <w:i/>
          <w:iCs/>
          <w:lang w:val="en-ID"/>
        </w:rPr>
        <w:t>Jurnal Reviu Akuntansi dan Keuangan, 11</w:t>
      </w:r>
      <w:r w:rsidRPr="0022079F">
        <w:rPr>
          <w:rFonts w:ascii="Nirmala UI Semilight" w:eastAsia="Times New Roman" w:hAnsi="Nirmala UI Semilight" w:cs="Nirmala UI Semilight"/>
          <w:lang w:val="en-ID"/>
        </w:rPr>
        <w:t xml:space="preserve">(1), 77–86. </w:t>
      </w:r>
      <w:hyperlink r:id="rId26" w:tgtFrame="_new" w:history="1">
        <w:r w:rsidRPr="0022079F">
          <w:rPr>
            <w:rStyle w:val="Hyperlink"/>
            <w:rFonts w:ascii="Nirmala UI Semilight" w:eastAsia="Times New Roman" w:hAnsi="Nirmala UI Semilight" w:cs="Nirmala UI Semilight"/>
            <w:lang w:val="en-ID"/>
          </w:rPr>
          <w:t>https://doi.org/10.22219/jrak.v11i1.16140</w:t>
        </w:r>
      </w:hyperlink>
    </w:p>
    <w:p w14:paraId="0CB7C51C"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Watts, R. L., &amp; Zimmerman, J. L. (1986). </w:t>
      </w:r>
      <w:r w:rsidRPr="0022079F">
        <w:rPr>
          <w:rFonts w:ascii="Nirmala UI Semilight" w:eastAsia="Times New Roman" w:hAnsi="Nirmala UI Semilight" w:cs="Nirmala UI Semilight"/>
          <w:i/>
          <w:iCs/>
          <w:lang w:val="en-ID"/>
        </w:rPr>
        <w:t>Positive accounting theory</w:t>
      </w:r>
      <w:r w:rsidRPr="0022079F">
        <w:rPr>
          <w:rFonts w:ascii="Nirmala UI Semilight" w:eastAsia="Times New Roman" w:hAnsi="Nirmala UI Semilight" w:cs="Nirmala UI Semilight"/>
          <w:lang w:val="en-ID"/>
        </w:rPr>
        <w:t>. Prentice Hall.</w:t>
      </w:r>
    </w:p>
    <w:p w14:paraId="0111747B" w14:textId="77777777" w:rsidR="0022079F"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Weston, J. F., &amp; Brigham, E. F. (1991). </w:t>
      </w:r>
      <w:r w:rsidRPr="0022079F">
        <w:rPr>
          <w:rFonts w:ascii="Nirmala UI Semilight" w:eastAsia="Times New Roman" w:hAnsi="Nirmala UI Semilight" w:cs="Nirmala UI Semilight"/>
          <w:i/>
          <w:iCs/>
          <w:lang w:val="en-ID"/>
        </w:rPr>
        <w:t>Dasar-dasar manajemen keuangan</w:t>
      </w:r>
      <w:r w:rsidRPr="0022079F">
        <w:rPr>
          <w:rFonts w:ascii="Nirmala UI Semilight" w:eastAsia="Times New Roman" w:hAnsi="Nirmala UI Semilight" w:cs="Nirmala UI Semilight"/>
          <w:lang w:val="en-ID"/>
        </w:rPr>
        <w:t xml:space="preserve"> (7th ed., Vol. 2). Erlangga.</w:t>
      </w:r>
    </w:p>
    <w:p w14:paraId="2E7102C4" w14:textId="202AB4A0" w:rsidR="00A13CC2" w:rsidRPr="0022079F" w:rsidRDefault="0022079F" w:rsidP="0022079F">
      <w:pPr>
        <w:autoSpaceDE w:val="0"/>
        <w:autoSpaceDN w:val="0"/>
        <w:spacing w:after="60" w:line="240" w:lineRule="auto"/>
        <w:ind w:left="480" w:hanging="480"/>
        <w:rPr>
          <w:rFonts w:ascii="Nirmala UI Semilight" w:eastAsia="Times New Roman" w:hAnsi="Nirmala UI Semilight" w:cs="Nirmala UI Semilight"/>
          <w:lang w:val="en-ID"/>
        </w:rPr>
      </w:pPr>
      <w:r w:rsidRPr="0022079F">
        <w:rPr>
          <w:rFonts w:ascii="Nirmala UI Semilight" w:eastAsia="Times New Roman" w:hAnsi="Nirmala UI Semilight" w:cs="Nirmala UI Semilight"/>
          <w:lang w:val="en-ID"/>
        </w:rPr>
        <w:t xml:space="preserve">Zimmerman, J. (1983). Taxes and firm size. </w:t>
      </w:r>
      <w:r w:rsidRPr="0022079F">
        <w:rPr>
          <w:rFonts w:ascii="Nirmala UI Semilight" w:eastAsia="Times New Roman" w:hAnsi="Nirmala UI Semilight" w:cs="Nirmala UI Semilight"/>
          <w:i/>
          <w:iCs/>
          <w:lang w:val="en-ID"/>
        </w:rPr>
        <w:t>Journal of Accounting and Economics, 5</w:t>
      </w:r>
      <w:r w:rsidRPr="0022079F">
        <w:rPr>
          <w:rFonts w:ascii="Nirmala UI Semilight" w:eastAsia="Times New Roman" w:hAnsi="Nirmala UI Semilight" w:cs="Nirmala UI Semilight"/>
          <w:lang w:val="en-ID"/>
        </w:rPr>
        <w:t>(2), 119–149.</w:t>
      </w:r>
    </w:p>
    <w:sectPr w:rsidR="00A13CC2" w:rsidRPr="0022079F" w:rsidSect="00FB48C8">
      <w:headerReference w:type="default" r:id="rId27"/>
      <w:footerReference w:type="default" r:id="rId28"/>
      <w:headerReference w:type="first" r:id="rId29"/>
      <w:footerReference w:type="first" r:id="rId30"/>
      <w:pgSz w:w="11906" w:h="16838" w:code="9"/>
      <w:pgMar w:top="1418" w:right="1418" w:bottom="1418" w:left="1701" w:header="720" w:footer="567" w:gutter="0"/>
      <w:pgNumType w:start="8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2E4F" w14:textId="77777777" w:rsidR="00C00576" w:rsidRDefault="00C00576" w:rsidP="00B51E45">
      <w:pPr>
        <w:spacing w:after="0" w:line="240" w:lineRule="auto"/>
      </w:pPr>
      <w:r>
        <w:separator/>
      </w:r>
    </w:p>
  </w:endnote>
  <w:endnote w:type="continuationSeparator" w:id="0">
    <w:p w14:paraId="26D9731D" w14:textId="77777777" w:rsidR="00C00576" w:rsidRDefault="00C00576" w:rsidP="00B5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UI Semilight">
    <w:panose1 w:val="020B04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B462" w14:textId="102C3747" w:rsidR="00A13CC2" w:rsidRDefault="002F4764">
    <w:pPr>
      <w:pBdr>
        <w:top w:val="nil"/>
        <w:left w:val="nil"/>
        <w:bottom w:val="nil"/>
        <w:right w:val="nil"/>
        <w:between w:val="nil"/>
      </w:pBdr>
      <w:tabs>
        <w:tab w:val="center" w:pos="4680"/>
        <w:tab w:val="right" w:pos="9360"/>
        <w:tab w:val="center" w:pos="4395"/>
        <w:tab w:val="right" w:pos="8788"/>
      </w:tabs>
      <w:suppressAutoHyphens/>
      <w:spacing w:after="0" w:line="240" w:lineRule="auto"/>
      <w:ind w:left="2" w:hangingChars="1" w:hanging="2"/>
      <w:jc w:val="center"/>
      <w:textDirection w:val="btLr"/>
      <w:textAlignment w:val="top"/>
      <w:outlineLvl w:val="0"/>
      <w:rPr>
        <w:rFonts w:ascii="Times New Roman" w:eastAsia="Times New Roman" w:hAnsi="Times New Roman" w:cs="Times New Roman"/>
        <w:i/>
        <w:color w:val="000000"/>
        <w:position w:val="-1"/>
        <w:sz w:val="18"/>
        <w:szCs w:val="18"/>
      </w:rPr>
    </w:pPr>
    <w:r>
      <w:rPr>
        <w:rFonts w:ascii="Times New Roman" w:eastAsia="Times New Roman" w:hAnsi="Times New Roman" w:cs="Times New Roman"/>
        <w:i/>
        <w:color w:val="000000"/>
        <w:position w:val="-1"/>
        <w:sz w:val="18"/>
        <w:szCs w:val="18"/>
      </w:rPr>
      <w:t xml:space="preserve">Fauzia </w:t>
    </w:r>
    <w:r w:rsidR="00D17232" w:rsidRPr="00AD294B">
      <w:rPr>
        <w:rFonts w:ascii="Times New Roman" w:eastAsia="Times New Roman" w:hAnsi="Times New Roman" w:cs="Times New Roman"/>
        <w:i/>
        <w:color w:val="000000"/>
        <w:position w:val="-1"/>
        <w:sz w:val="16"/>
        <w:szCs w:val="16"/>
      </w:rPr>
      <w:t>(</w:t>
    </w:r>
    <w:r w:rsidRPr="002F4764">
      <w:rPr>
        <w:rFonts w:ascii="Times New Roman" w:eastAsia="Times New Roman" w:hAnsi="Times New Roman" w:cs="Times New Roman"/>
        <w:i/>
        <w:color w:val="000000"/>
        <w:position w:val="-1"/>
        <w:sz w:val="18"/>
        <w:szCs w:val="18"/>
      </w:rPr>
      <w:t xml:space="preserve">The Influence </w:t>
    </w:r>
    <w:r>
      <w:rPr>
        <w:rFonts w:ascii="Times New Roman" w:eastAsia="Times New Roman" w:hAnsi="Times New Roman" w:cs="Times New Roman"/>
        <w:i/>
        <w:color w:val="000000"/>
        <w:position w:val="-1"/>
        <w:sz w:val="18"/>
        <w:szCs w:val="18"/>
      </w:rPr>
      <w:t>o</w:t>
    </w:r>
    <w:r w:rsidRPr="002F4764">
      <w:rPr>
        <w:rFonts w:ascii="Times New Roman" w:eastAsia="Times New Roman" w:hAnsi="Times New Roman" w:cs="Times New Roman"/>
        <w:i/>
        <w:color w:val="000000"/>
        <w:position w:val="-1"/>
        <w:sz w:val="18"/>
        <w:szCs w:val="18"/>
      </w:rPr>
      <w:t xml:space="preserve">f Ceo Tenure, Financial Distress, </w:t>
    </w:r>
    <w:r>
      <w:rPr>
        <w:rFonts w:ascii="Times New Roman" w:eastAsia="Times New Roman" w:hAnsi="Times New Roman" w:cs="Times New Roman"/>
        <w:i/>
        <w:color w:val="000000"/>
        <w:position w:val="-1"/>
        <w:sz w:val="18"/>
        <w:szCs w:val="18"/>
      </w:rPr>
      <w:t>a</w:t>
    </w:r>
    <w:r w:rsidRPr="002F4764">
      <w:rPr>
        <w:rFonts w:ascii="Times New Roman" w:eastAsia="Times New Roman" w:hAnsi="Times New Roman" w:cs="Times New Roman"/>
        <w:i/>
        <w:color w:val="000000"/>
        <w:position w:val="-1"/>
        <w:sz w:val="18"/>
        <w:szCs w:val="18"/>
      </w:rPr>
      <w:t xml:space="preserve">nd Sales Growth </w:t>
    </w:r>
    <w:r>
      <w:rPr>
        <w:rFonts w:ascii="Times New Roman" w:eastAsia="Times New Roman" w:hAnsi="Times New Roman" w:cs="Times New Roman"/>
        <w:i/>
        <w:color w:val="000000"/>
        <w:position w:val="-1"/>
        <w:sz w:val="18"/>
        <w:szCs w:val="18"/>
      </w:rPr>
      <w:t>o</w:t>
    </w:r>
    <w:r w:rsidRPr="002F4764">
      <w:rPr>
        <w:rFonts w:ascii="Times New Roman" w:eastAsia="Times New Roman" w:hAnsi="Times New Roman" w:cs="Times New Roman"/>
        <w:i/>
        <w:color w:val="000000"/>
        <w:position w:val="-1"/>
        <w:sz w:val="18"/>
        <w:szCs w:val="18"/>
      </w:rPr>
      <w:t xml:space="preserve">n Tax Avoidance (Study </w:t>
    </w:r>
    <w:r>
      <w:rPr>
        <w:rFonts w:ascii="Times New Roman" w:eastAsia="Times New Roman" w:hAnsi="Times New Roman" w:cs="Times New Roman"/>
        <w:i/>
        <w:color w:val="000000"/>
        <w:position w:val="-1"/>
        <w:sz w:val="18"/>
        <w:szCs w:val="18"/>
      </w:rPr>
      <w:t>of</w:t>
    </w:r>
    <w:r w:rsidRPr="002F4764">
      <w:rPr>
        <w:rFonts w:ascii="Times New Roman" w:eastAsia="Times New Roman" w:hAnsi="Times New Roman" w:cs="Times New Roman"/>
        <w:i/>
        <w:color w:val="000000"/>
        <w:position w:val="-1"/>
        <w:sz w:val="18"/>
        <w:szCs w:val="18"/>
      </w:rPr>
      <w:t xml:space="preserve"> Non-Cyclical Consumer Sector Companies Listed </w:t>
    </w:r>
    <w:r>
      <w:rPr>
        <w:rFonts w:ascii="Times New Roman" w:eastAsia="Times New Roman" w:hAnsi="Times New Roman" w:cs="Times New Roman"/>
        <w:i/>
        <w:color w:val="000000"/>
        <w:position w:val="-1"/>
        <w:sz w:val="18"/>
        <w:szCs w:val="18"/>
      </w:rPr>
      <w:t>o</w:t>
    </w:r>
    <w:r w:rsidRPr="002F4764">
      <w:rPr>
        <w:rFonts w:ascii="Times New Roman" w:eastAsia="Times New Roman" w:hAnsi="Times New Roman" w:cs="Times New Roman"/>
        <w:i/>
        <w:color w:val="000000"/>
        <w:position w:val="-1"/>
        <w:sz w:val="18"/>
        <w:szCs w:val="18"/>
      </w:rPr>
      <w:t xml:space="preserve">n The Indonesian Stock Exchange </w:t>
    </w:r>
    <w:r>
      <w:rPr>
        <w:rFonts w:ascii="Times New Roman" w:eastAsia="Times New Roman" w:hAnsi="Times New Roman" w:cs="Times New Roman"/>
        <w:i/>
        <w:color w:val="000000"/>
        <w:position w:val="-1"/>
        <w:sz w:val="18"/>
        <w:szCs w:val="18"/>
      </w:rPr>
      <w:t>i</w:t>
    </w:r>
    <w:r w:rsidRPr="002F4764">
      <w:rPr>
        <w:rFonts w:ascii="Times New Roman" w:eastAsia="Times New Roman" w:hAnsi="Times New Roman" w:cs="Times New Roman"/>
        <w:i/>
        <w:color w:val="000000"/>
        <w:position w:val="-1"/>
        <w:sz w:val="18"/>
        <w:szCs w:val="18"/>
      </w:rPr>
      <w:t>n 2020-2022)</w:t>
    </w:r>
    <w:r w:rsidR="00E75667" w:rsidRPr="00E75667">
      <w:rPr>
        <w:rFonts w:ascii="Times New Roman" w:eastAsia="Times New Roman" w:hAnsi="Times New Roman" w:cs="Times New Roman"/>
        <w:i/>
        <w:color w:val="000000"/>
        <w:position w:val="-1"/>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D5C4" w14:textId="77777777" w:rsidR="00A13CC2" w:rsidRDefault="00000000">
    <w:pPr>
      <w:pBdr>
        <w:top w:val="single" w:sz="4" w:space="1" w:color="000000"/>
        <w:left w:val="nil"/>
        <w:bottom w:val="nil"/>
        <w:right w:val="nil"/>
        <w:between w:val="nil"/>
      </w:pBdr>
      <w:tabs>
        <w:tab w:val="center" w:pos="4680"/>
        <w:tab w:val="left" w:pos="5263"/>
        <w:tab w:val="right" w:pos="9360"/>
        <w:tab w:val="right" w:pos="8788"/>
      </w:tabs>
      <w:suppressAutoHyphens/>
      <w:spacing w:line="259" w:lineRule="auto"/>
      <w:ind w:leftChars="-1" w:left="0" w:hangingChars="1" w:hanging="2"/>
      <w:jc w:val="left"/>
      <w:textDirection w:val="btLr"/>
      <w:textAlignment w:val="top"/>
      <w:outlineLvl w:val="0"/>
      <w:rPr>
        <w:rFonts w:ascii="Times New Roman" w:eastAsia="Times New Roman" w:hAnsi="Times New Roman" w:cs="Times New Roman"/>
        <w:bCs/>
        <w:color w:val="000000"/>
        <w:position w:val="-1"/>
        <w:sz w:val="18"/>
        <w:szCs w:val="18"/>
      </w:rPr>
    </w:pPr>
    <w:bookmarkStart w:id="4" w:name="_Hlk169814747"/>
    <w:r w:rsidRPr="00A02202">
      <w:rPr>
        <w:rFonts w:ascii="Times New Roman" w:eastAsia="Times New Roman" w:hAnsi="Times New Roman" w:cs="Times New Roman"/>
        <w:color w:val="000000"/>
        <w:position w:val="-1"/>
        <w:sz w:val="18"/>
        <w:szCs w:val="18"/>
      </w:rPr>
      <w:t xml:space="preserve">DOI: </w:t>
    </w:r>
    <w:r w:rsidRPr="00A02202">
      <w:rPr>
        <w:rFonts w:ascii="Times New Roman" w:eastAsia="Times New Roman" w:hAnsi="Times New Roman" w:cs="Times New Roman"/>
        <w:color w:val="000000"/>
        <w:position w:val="-1"/>
        <w:sz w:val="18"/>
        <w:szCs w:val="18"/>
      </w:rPr>
      <w:tab/>
    </w:r>
    <w:r w:rsidRPr="00A02202">
      <w:rPr>
        <w:rFonts w:ascii="Times New Roman" w:eastAsia="Times New Roman" w:hAnsi="Times New Roman" w:cs="Times New Roman"/>
        <w:color w:val="000000"/>
        <w:position w:val="-1"/>
        <w:sz w:val="18"/>
        <w:szCs w:val="18"/>
      </w:rPr>
      <w:tab/>
    </w:r>
    <w:r>
      <w:rPr>
        <w:rFonts w:ascii="Times New Roman" w:eastAsia="Times New Roman" w:hAnsi="Times New Roman" w:cs="Times New Roman"/>
        <w:color w:val="000000"/>
        <w:position w:val="-1"/>
        <w:sz w:val="18"/>
        <w:szCs w:val="18"/>
      </w:rPr>
      <w:tab/>
    </w:r>
    <w:proofErr w:type="gramStart"/>
    <w:r w:rsidRPr="00A02202">
      <w:rPr>
        <w:rFonts w:ascii="Nirmala UI Semilight" w:eastAsia="Nirmala UI Semilight" w:hAnsi="Nirmala UI Semilight" w:cs="Nirmala UI Semilight"/>
        <w:bCs/>
        <w:color w:val="000000"/>
        <w:position w:val="-1"/>
        <w:sz w:val="18"/>
        <w:szCs w:val="18"/>
      </w:rPr>
      <w:t>W :</w:t>
    </w:r>
    <w:proofErr w:type="gramEnd"/>
    <w:r w:rsidRPr="00A02202">
      <w:rPr>
        <w:rFonts w:ascii="Nirmala UI Semilight" w:eastAsia="Nirmala UI Semilight" w:hAnsi="Nirmala UI Semilight" w:cs="Nirmala UI Semilight"/>
        <w:bCs/>
        <w:color w:val="000000"/>
        <w:position w:val="-1"/>
        <w:sz w:val="18"/>
        <w:szCs w:val="18"/>
      </w:rPr>
      <w:t xml:space="preserve"> http://ijrfb.com | </w:t>
    </w:r>
    <w:proofErr w:type="gramStart"/>
    <w:r w:rsidRPr="00A02202">
      <w:rPr>
        <w:rFonts w:ascii="Nirmala UI Semilight" w:eastAsia="Nirmala UI Semilight" w:hAnsi="Nirmala UI Semilight" w:cs="Nirmala UI Semilight"/>
        <w:bCs/>
        <w:color w:val="000000"/>
        <w:position w:val="-1"/>
        <w:sz w:val="18"/>
        <w:szCs w:val="18"/>
      </w:rPr>
      <w:t>E :</w:t>
    </w:r>
    <w:proofErr w:type="gramEnd"/>
    <w:r w:rsidRPr="00A02202">
      <w:rPr>
        <w:rFonts w:ascii="Nirmala UI Semilight" w:eastAsia="Nirmala UI Semilight" w:hAnsi="Nirmala UI Semilight" w:cs="Nirmala UI Semilight"/>
        <w:bCs/>
        <w:color w:val="000000"/>
        <w:position w:val="-1"/>
        <w:sz w:val="18"/>
        <w:szCs w:val="18"/>
      </w:rPr>
      <w:t xml:space="preserve"> admin@ijrfb.com</w:t>
    </w:r>
  </w:p>
  <w:bookmarkEnd w:i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A001" w14:textId="77777777" w:rsidR="00C00576" w:rsidRDefault="00C00576" w:rsidP="00B51E45">
      <w:pPr>
        <w:spacing w:after="0" w:line="240" w:lineRule="auto"/>
      </w:pPr>
      <w:r>
        <w:separator/>
      </w:r>
    </w:p>
  </w:footnote>
  <w:footnote w:type="continuationSeparator" w:id="0">
    <w:p w14:paraId="7E0EC443" w14:textId="77777777" w:rsidR="00C00576" w:rsidRDefault="00C00576" w:rsidP="00B5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313976"/>
      <w:docPartObj>
        <w:docPartGallery w:val="Page Numbers (Top of Page)"/>
        <w:docPartUnique/>
      </w:docPartObj>
    </w:sdtPr>
    <w:sdtEndPr>
      <w:rPr>
        <w:noProof/>
      </w:rPr>
    </w:sdtEndPr>
    <w:sdtContent>
      <w:p w14:paraId="0E3C6852" w14:textId="77777777" w:rsidR="00A13CC2" w:rsidRDefault="00000000" w:rsidP="00FB48C8">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6432" behindDoc="0" locked="0" layoutInCell="1" hidden="0" allowOverlap="1" wp14:anchorId="3658C124" wp14:editId="05F64990">
              <wp:simplePos x="0" y="0"/>
              <wp:positionH relativeFrom="margin">
                <wp:posOffset>3810</wp:posOffset>
              </wp:positionH>
              <wp:positionV relativeFrom="margin">
                <wp:posOffset>-1071083</wp:posOffset>
              </wp:positionV>
              <wp:extent cx="596900" cy="768350"/>
              <wp:effectExtent l="0" t="0" r="0" b="0"/>
              <wp:wrapThrough wrapText="bothSides">
                <wp:wrapPolygon edited="0">
                  <wp:start x="0" y="0"/>
                  <wp:lineTo x="0" y="20886"/>
                  <wp:lineTo x="20681" y="20886"/>
                  <wp:lineTo x="20681" y="0"/>
                  <wp:lineTo x="0" y="0"/>
                </wp:wrapPolygon>
              </wp:wrapThrough>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3E7ADC58" w14:textId="3C40CDBA" w:rsidR="00A13CC2" w:rsidRDefault="00000000" w:rsidP="00FB48C8">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FB48C8">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FB48C8">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FB48C8">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FB48C8">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FB48C8">
          <w:rPr>
            <w:rFonts w:ascii="Nirmala UI Semilight" w:eastAsia="Nirmala UI Semilight" w:hAnsi="Nirmala UI Semilight" w:cs="Nirmala UI Semilight"/>
            <w:bCs/>
            <w:color w:val="000000"/>
            <w:position w:val="-1"/>
            <w:sz w:val="18"/>
            <w:szCs w:val="18"/>
          </w:rPr>
          <w:t>85</w:t>
        </w:r>
        <w:r w:rsidRPr="00E75667">
          <w:rPr>
            <w:rFonts w:ascii="Nirmala UI Semilight" w:eastAsia="Nirmala UI Semilight" w:hAnsi="Nirmala UI Semilight" w:cs="Nirmala UI Semilight"/>
            <w:bCs/>
            <w:color w:val="000000"/>
            <w:position w:val="-1"/>
            <w:sz w:val="18"/>
            <w:szCs w:val="18"/>
          </w:rPr>
          <w:t>-</w:t>
        </w:r>
        <w:r w:rsidR="00FB48C8">
          <w:rPr>
            <w:rFonts w:ascii="Nirmala UI Semilight" w:eastAsia="Nirmala UI Semilight" w:hAnsi="Nirmala UI Semilight" w:cs="Nirmala UI Semilight"/>
            <w:bCs/>
            <w:color w:val="000000"/>
            <w:position w:val="-1"/>
            <w:sz w:val="18"/>
            <w:szCs w:val="18"/>
          </w:rPr>
          <w:t>104</w:t>
        </w:r>
        <w:r w:rsidR="00FB48C8">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 3032-7806 (Print)</w:t>
        </w:r>
      </w:p>
      <w:p w14:paraId="0A63EB8C" w14:textId="77777777" w:rsidR="00A13CC2" w:rsidRDefault="00000000">
        <w:pPr>
          <w:pStyle w:val="Header"/>
          <w:spacing w:before="120" w:after="120"/>
          <w:ind w:left="0"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424" w14:textId="77777777" w:rsidR="00A13CC2" w:rsidRDefault="00000000" w:rsidP="00FB48C8">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4384" behindDoc="0" locked="0" layoutInCell="1" hidden="0" allowOverlap="1" wp14:anchorId="5470D7BA" wp14:editId="0810E02D">
          <wp:simplePos x="0" y="0"/>
          <wp:positionH relativeFrom="margin">
            <wp:posOffset>3810</wp:posOffset>
          </wp:positionH>
          <wp:positionV relativeFrom="margin">
            <wp:posOffset>-1068867</wp:posOffset>
          </wp:positionV>
          <wp:extent cx="596900" cy="768350"/>
          <wp:effectExtent l="0" t="0" r="0" b="0"/>
          <wp:wrapThrough wrapText="bothSides">
            <wp:wrapPolygon edited="0">
              <wp:start x="0" y="0"/>
              <wp:lineTo x="0" y="20886"/>
              <wp:lineTo x="20681" y="20886"/>
              <wp:lineTo x="20681" y="0"/>
              <wp:lineTo x="0" y="0"/>
            </wp:wrapPolygon>
          </wp:wrapThrough>
          <wp:docPr id="1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4762BB75" w14:textId="4564D973" w:rsidR="00A13CC2" w:rsidRDefault="00000000" w:rsidP="00FB48C8">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FB48C8">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FB48C8">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FB48C8">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FB48C8">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FB48C8">
      <w:rPr>
        <w:rFonts w:ascii="Nirmala UI Semilight" w:eastAsia="Nirmala UI Semilight" w:hAnsi="Nirmala UI Semilight" w:cs="Nirmala UI Semilight"/>
        <w:bCs/>
        <w:color w:val="000000"/>
        <w:position w:val="-1"/>
        <w:sz w:val="18"/>
        <w:szCs w:val="18"/>
      </w:rPr>
      <w:t>85</w:t>
    </w:r>
    <w:r w:rsidRPr="00E75667">
      <w:rPr>
        <w:rFonts w:ascii="Nirmala UI Semilight" w:eastAsia="Nirmala UI Semilight" w:hAnsi="Nirmala UI Semilight" w:cs="Nirmala UI Semilight"/>
        <w:bCs/>
        <w:color w:val="000000"/>
        <w:position w:val="-1"/>
        <w:sz w:val="18"/>
        <w:szCs w:val="18"/>
      </w:rPr>
      <w:t>-</w:t>
    </w:r>
    <w:r w:rsidR="00FB48C8">
      <w:rPr>
        <w:rFonts w:ascii="Nirmala UI Semilight" w:eastAsia="Nirmala UI Semilight" w:hAnsi="Nirmala UI Semilight" w:cs="Nirmala UI Semilight"/>
        <w:bCs/>
        <w:color w:val="000000"/>
        <w:position w:val="-1"/>
        <w:sz w:val="18"/>
        <w:szCs w:val="18"/>
      </w:rPr>
      <w:t>104</w:t>
    </w:r>
    <w:r w:rsidR="00FB48C8">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w:t>
    </w:r>
    <w:r w:rsidR="00FB48C8">
      <w:rPr>
        <w:rFonts w:ascii="Nirmala UI Semilight" w:eastAsia="Nirmala UI Semilight" w:hAnsi="Nirmala UI Semilight" w:cs="Nirmala UI Semilight"/>
        <w:bCs/>
        <w:color w:val="000000"/>
        <w:position w:val="-1"/>
        <w:sz w:val="18"/>
        <w:szCs w:val="18"/>
      </w:rPr>
      <w:t xml:space="preserve"> </w:t>
    </w:r>
    <w:r w:rsidRPr="00E75667">
      <w:rPr>
        <w:rFonts w:ascii="Nirmala UI Semilight" w:eastAsia="Nirmala UI Semilight" w:hAnsi="Nirmala UI Semilight" w:cs="Nirmala UI Semilight"/>
        <w:bCs/>
        <w:color w:val="000000"/>
        <w:position w:val="-1"/>
        <w:sz w:val="18"/>
        <w:szCs w:val="18"/>
      </w:rPr>
      <w:t>3032-7806 (Print)</w:t>
    </w:r>
  </w:p>
  <w:p w14:paraId="31BE644D" w14:textId="77777777" w:rsidR="00C4579D" w:rsidRDefault="00C4579D" w:rsidP="00C4579D">
    <w:pPr>
      <w:pBdr>
        <w:top w:val="nil"/>
        <w:left w:val="nil"/>
        <w:bottom w:val="nil"/>
        <w:right w:val="nil"/>
        <w:between w:val="nil"/>
      </w:pBdr>
      <w:tabs>
        <w:tab w:val="center" w:pos="4111"/>
        <w:tab w:val="left" w:pos="6946"/>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p>
  <w:sdt>
    <w:sdtPr>
      <w:id w:val="-1359893554"/>
      <w:docPartObj>
        <w:docPartGallery w:val="Page Numbers (Top of Page)"/>
        <w:docPartUnique/>
      </w:docPartObj>
    </w:sdtPr>
    <w:sdtEndPr>
      <w:rPr>
        <w:noProof/>
      </w:rPr>
    </w:sdtEndPr>
    <w:sdtContent>
      <w:p w14:paraId="701AADEB" w14:textId="77777777" w:rsidR="00A13CC2" w:rsidRDefault="00000000">
        <w:pPr>
          <w:pStyle w:val="Header"/>
          <w:spacing w:before="120" w:after="120"/>
          <w:ind w:left="0" w:firstLine="0"/>
          <w:jc w:val="center"/>
          <w:rPr>
            <w:noProof/>
          </w:rP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AAB"/>
    <w:multiLevelType w:val="multilevel"/>
    <w:tmpl w:val="2070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90B4A"/>
    <w:multiLevelType w:val="hybridMultilevel"/>
    <w:tmpl w:val="766A6608"/>
    <w:lvl w:ilvl="0" w:tplc="3E221D96">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FCB240D"/>
    <w:multiLevelType w:val="hybridMultilevel"/>
    <w:tmpl w:val="4B04574A"/>
    <w:lvl w:ilvl="0" w:tplc="1938E720">
      <w:start w:val="1"/>
      <w:numFmt w:val="upperLetter"/>
      <w:lvlText w:val="%1."/>
      <w:lvlJc w:val="left"/>
      <w:pPr>
        <w:ind w:left="720" w:hanging="360"/>
      </w:pPr>
      <w:rPr>
        <w:rFonts w:ascii="Nirmala UI Semilight" w:hAnsi="Nirmala UI Semilight" w:cs="Nirmala UI Semilight"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F27F6"/>
    <w:multiLevelType w:val="hybridMultilevel"/>
    <w:tmpl w:val="11EAC616"/>
    <w:lvl w:ilvl="0" w:tplc="D39EDF8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A2966"/>
    <w:multiLevelType w:val="hybridMultilevel"/>
    <w:tmpl w:val="2054A97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CB32F10"/>
    <w:multiLevelType w:val="hybridMultilevel"/>
    <w:tmpl w:val="5E288FAA"/>
    <w:lvl w:ilvl="0" w:tplc="410E4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B55BF"/>
    <w:multiLevelType w:val="hybridMultilevel"/>
    <w:tmpl w:val="96D04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25E57"/>
    <w:multiLevelType w:val="hybridMultilevel"/>
    <w:tmpl w:val="69B49F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92C35C3"/>
    <w:multiLevelType w:val="hybridMultilevel"/>
    <w:tmpl w:val="EB50DA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B57D68"/>
    <w:multiLevelType w:val="hybridMultilevel"/>
    <w:tmpl w:val="B00E919A"/>
    <w:lvl w:ilvl="0" w:tplc="AB9C0BCA">
      <w:start w:val="1"/>
      <w:numFmt w:val="upperRoman"/>
      <w:lvlText w:val="%1."/>
      <w:lvlJc w:val="left"/>
      <w:pPr>
        <w:ind w:left="1080" w:hanging="720"/>
      </w:pPr>
      <w:rPr>
        <w:rFonts w:ascii="Nirmala UI Semilight" w:hAnsi="Nirmala UI Semilight" w:cs="Nirmala UI Semilight"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263B0"/>
    <w:multiLevelType w:val="hybridMultilevel"/>
    <w:tmpl w:val="4D0C4296"/>
    <w:lvl w:ilvl="0" w:tplc="F184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C4512"/>
    <w:multiLevelType w:val="hybridMultilevel"/>
    <w:tmpl w:val="24FE9D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7783E9A"/>
    <w:multiLevelType w:val="hybridMultilevel"/>
    <w:tmpl w:val="2EAE46DE"/>
    <w:lvl w:ilvl="0" w:tplc="C48A6B1A">
      <w:start w:val="1"/>
      <w:numFmt w:val="decimal"/>
      <w:lvlText w:val="%1."/>
      <w:lvlJc w:val="left"/>
      <w:pPr>
        <w:ind w:left="720" w:hanging="360"/>
      </w:pPr>
      <w:rPr>
        <w:rFonts w:ascii="Nirmala UI Semilight" w:hAnsi="Nirmala UI Semilight" w:cs="Nirmala UI Semilight"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C7E86"/>
    <w:multiLevelType w:val="hybridMultilevel"/>
    <w:tmpl w:val="023CF0A4"/>
    <w:lvl w:ilvl="0" w:tplc="6B425D1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435F508A"/>
    <w:multiLevelType w:val="hybridMultilevel"/>
    <w:tmpl w:val="687E0CF8"/>
    <w:lvl w:ilvl="0" w:tplc="FDA8BB00">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6716EB"/>
    <w:multiLevelType w:val="hybridMultilevel"/>
    <w:tmpl w:val="98905E48"/>
    <w:lvl w:ilvl="0" w:tplc="59AC8C5E">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6" w15:restartNumberingAfterBreak="0">
    <w:nsid w:val="46BC6501"/>
    <w:multiLevelType w:val="hybridMultilevel"/>
    <w:tmpl w:val="0B08869E"/>
    <w:lvl w:ilvl="0" w:tplc="7D162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96B85"/>
    <w:multiLevelType w:val="hybridMultilevel"/>
    <w:tmpl w:val="FEE2F27C"/>
    <w:lvl w:ilvl="0" w:tplc="28A81482">
      <w:start w:val="1"/>
      <w:numFmt w:val="upp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81516"/>
    <w:multiLevelType w:val="hybridMultilevel"/>
    <w:tmpl w:val="E50455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CCC6701"/>
    <w:multiLevelType w:val="hybridMultilevel"/>
    <w:tmpl w:val="D63077E4"/>
    <w:lvl w:ilvl="0" w:tplc="642C5060">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15:restartNumberingAfterBreak="0">
    <w:nsid w:val="504B023B"/>
    <w:multiLevelType w:val="hybridMultilevel"/>
    <w:tmpl w:val="787804DE"/>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1" w15:restartNumberingAfterBreak="0">
    <w:nsid w:val="521A69FA"/>
    <w:multiLevelType w:val="hybridMultilevel"/>
    <w:tmpl w:val="C0CA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41611"/>
    <w:multiLevelType w:val="hybridMultilevel"/>
    <w:tmpl w:val="79645AE8"/>
    <w:lvl w:ilvl="0" w:tplc="A1723C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72ADE"/>
    <w:multiLevelType w:val="multilevel"/>
    <w:tmpl w:val="1534C274"/>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9306DB"/>
    <w:multiLevelType w:val="hybridMultilevel"/>
    <w:tmpl w:val="BDB44E96"/>
    <w:lvl w:ilvl="0" w:tplc="E59043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80608"/>
    <w:multiLevelType w:val="hybridMultilevel"/>
    <w:tmpl w:val="3A4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E38AD"/>
    <w:multiLevelType w:val="hybridMultilevel"/>
    <w:tmpl w:val="0792DC78"/>
    <w:lvl w:ilvl="0" w:tplc="8BEA09A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84528"/>
    <w:multiLevelType w:val="hybridMultilevel"/>
    <w:tmpl w:val="528AF140"/>
    <w:lvl w:ilvl="0" w:tplc="365488A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34469"/>
    <w:multiLevelType w:val="hybridMultilevel"/>
    <w:tmpl w:val="477EFC8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C9D2111"/>
    <w:multiLevelType w:val="hybridMultilevel"/>
    <w:tmpl w:val="87FC71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E613F9C"/>
    <w:multiLevelType w:val="hybridMultilevel"/>
    <w:tmpl w:val="F93C2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A2163"/>
    <w:multiLevelType w:val="hybridMultilevel"/>
    <w:tmpl w:val="14CC1F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0AC3F51"/>
    <w:multiLevelType w:val="hybridMultilevel"/>
    <w:tmpl w:val="DE389DD0"/>
    <w:lvl w:ilvl="0" w:tplc="B9267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3A5B9C"/>
    <w:multiLevelType w:val="hybridMultilevel"/>
    <w:tmpl w:val="09A8B97A"/>
    <w:lvl w:ilvl="0" w:tplc="28C6A496">
      <w:start w:val="1"/>
      <w:numFmt w:val="upperLetter"/>
      <w:lvlText w:val="%1."/>
      <w:lvlJc w:val="left"/>
      <w:pPr>
        <w:ind w:left="1080" w:hanging="360"/>
      </w:pPr>
      <w:rPr>
        <w:rFonts w:hint="default"/>
        <w:b w:val="0"/>
        <w:bCs w:val="0"/>
      </w:rPr>
    </w:lvl>
    <w:lvl w:ilvl="1" w:tplc="0409000F">
      <w:start w:val="1"/>
      <w:numFmt w:val="decimal"/>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023C47"/>
    <w:multiLevelType w:val="hybridMultilevel"/>
    <w:tmpl w:val="82C40448"/>
    <w:lvl w:ilvl="0" w:tplc="BD8C55E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5" w15:restartNumberingAfterBreak="0">
    <w:nsid w:val="7B4D7F1A"/>
    <w:multiLevelType w:val="hybridMultilevel"/>
    <w:tmpl w:val="2110B5A8"/>
    <w:lvl w:ilvl="0" w:tplc="57501020">
      <w:start w:val="5"/>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BD45DF"/>
    <w:multiLevelType w:val="hybridMultilevel"/>
    <w:tmpl w:val="72687086"/>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37" w15:restartNumberingAfterBreak="0">
    <w:nsid w:val="7D6F5DE7"/>
    <w:multiLevelType w:val="hybridMultilevel"/>
    <w:tmpl w:val="6526DA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EE45764"/>
    <w:multiLevelType w:val="hybridMultilevel"/>
    <w:tmpl w:val="2054A972"/>
    <w:lvl w:ilvl="0" w:tplc="C0503336">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39" w15:restartNumberingAfterBreak="0">
    <w:nsid w:val="7FBC2CDD"/>
    <w:multiLevelType w:val="hybridMultilevel"/>
    <w:tmpl w:val="CCD467BA"/>
    <w:lvl w:ilvl="0" w:tplc="AA7028A2">
      <w:start w:val="1"/>
      <w:numFmt w:val="decimal"/>
      <w:lvlText w:val="%1)"/>
      <w:lvlJc w:val="left"/>
      <w:pPr>
        <w:ind w:left="1287" w:hanging="360"/>
      </w:pPr>
      <w:rPr>
        <w:rFonts w:ascii="Times New Roman" w:eastAsiaTheme="minorHAnsi" w:hAnsi="Times New Roman" w:cs="Times New Roman"/>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419984796">
    <w:abstractNumId w:val="0"/>
    <w:lvlOverride w:ilvl="0">
      <w:lvl w:ilvl="0">
        <w:numFmt w:val="upperRoman"/>
        <w:lvlText w:val="%1."/>
        <w:lvlJc w:val="right"/>
      </w:lvl>
    </w:lvlOverride>
  </w:num>
  <w:num w:numId="2" w16cid:durableId="1990547800">
    <w:abstractNumId w:val="9"/>
  </w:num>
  <w:num w:numId="3" w16cid:durableId="1038697225">
    <w:abstractNumId w:val="3"/>
  </w:num>
  <w:num w:numId="4" w16cid:durableId="2111506004">
    <w:abstractNumId w:val="10"/>
  </w:num>
  <w:num w:numId="5" w16cid:durableId="977148978">
    <w:abstractNumId w:val="22"/>
  </w:num>
  <w:num w:numId="6" w16cid:durableId="1709602088">
    <w:abstractNumId w:val="23"/>
  </w:num>
  <w:num w:numId="7" w16cid:durableId="1128473594">
    <w:abstractNumId w:val="25"/>
  </w:num>
  <w:num w:numId="8" w16cid:durableId="1507095283">
    <w:abstractNumId w:val="39"/>
  </w:num>
  <w:num w:numId="9" w16cid:durableId="304626113">
    <w:abstractNumId w:val="14"/>
  </w:num>
  <w:num w:numId="10" w16cid:durableId="1663199273">
    <w:abstractNumId w:val="15"/>
  </w:num>
  <w:num w:numId="11" w16cid:durableId="86075452">
    <w:abstractNumId w:val="27"/>
  </w:num>
  <w:num w:numId="12" w16cid:durableId="2094353418">
    <w:abstractNumId w:val="17"/>
  </w:num>
  <w:num w:numId="13" w16cid:durableId="366835581">
    <w:abstractNumId w:val="16"/>
  </w:num>
  <w:num w:numId="14" w16cid:durableId="863905811">
    <w:abstractNumId w:val="6"/>
  </w:num>
  <w:num w:numId="15" w16cid:durableId="568425837">
    <w:abstractNumId w:val="5"/>
  </w:num>
  <w:num w:numId="16" w16cid:durableId="1378814797">
    <w:abstractNumId w:val="35"/>
  </w:num>
  <w:num w:numId="17" w16cid:durableId="301934083">
    <w:abstractNumId w:val="33"/>
  </w:num>
  <w:num w:numId="18" w16cid:durableId="2102871962">
    <w:abstractNumId w:val="21"/>
  </w:num>
  <w:num w:numId="19" w16cid:durableId="1590120545">
    <w:abstractNumId w:val="20"/>
  </w:num>
  <w:num w:numId="20" w16cid:durableId="1814985015">
    <w:abstractNumId w:val="36"/>
  </w:num>
  <w:num w:numId="21" w16cid:durableId="293105362">
    <w:abstractNumId w:val="19"/>
  </w:num>
  <w:num w:numId="22" w16cid:durableId="1609460908">
    <w:abstractNumId w:val="26"/>
  </w:num>
  <w:num w:numId="23" w16cid:durableId="1737438401">
    <w:abstractNumId w:val="1"/>
  </w:num>
  <w:num w:numId="24" w16cid:durableId="731388718">
    <w:abstractNumId w:val="34"/>
  </w:num>
  <w:num w:numId="25" w16cid:durableId="1559394388">
    <w:abstractNumId w:val="30"/>
  </w:num>
  <w:num w:numId="26" w16cid:durableId="2024823357">
    <w:abstractNumId w:val="2"/>
  </w:num>
  <w:num w:numId="27" w16cid:durableId="550314545">
    <w:abstractNumId w:val="24"/>
  </w:num>
  <w:num w:numId="28" w16cid:durableId="1513644816">
    <w:abstractNumId w:val="13"/>
  </w:num>
  <w:num w:numId="29" w16cid:durableId="503252450">
    <w:abstractNumId w:val="32"/>
  </w:num>
  <w:num w:numId="30" w16cid:durableId="1958829638">
    <w:abstractNumId w:val="12"/>
  </w:num>
  <w:num w:numId="31" w16cid:durableId="1772705978">
    <w:abstractNumId w:val="37"/>
  </w:num>
  <w:num w:numId="32" w16cid:durableId="1921216072">
    <w:abstractNumId w:val="11"/>
  </w:num>
  <w:num w:numId="33" w16cid:durableId="1417902881">
    <w:abstractNumId w:val="8"/>
  </w:num>
  <w:num w:numId="34" w16cid:durableId="352921674">
    <w:abstractNumId w:val="38"/>
  </w:num>
  <w:num w:numId="35" w16cid:durableId="1567647030">
    <w:abstractNumId w:val="4"/>
  </w:num>
  <w:num w:numId="36" w16cid:durableId="1975788030">
    <w:abstractNumId w:val="7"/>
  </w:num>
  <w:num w:numId="37" w16cid:durableId="1501890025">
    <w:abstractNumId w:val="18"/>
  </w:num>
  <w:num w:numId="38" w16cid:durableId="717972320">
    <w:abstractNumId w:val="28"/>
  </w:num>
  <w:num w:numId="39" w16cid:durableId="2073578741">
    <w:abstractNumId w:val="31"/>
  </w:num>
  <w:num w:numId="40" w16cid:durableId="20819492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EB"/>
    <w:rsid w:val="00002595"/>
    <w:rsid w:val="00005EB3"/>
    <w:rsid w:val="0000616C"/>
    <w:rsid w:val="000077C3"/>
    <w:rsid w:val="00011B17"/>
    <w:rsid w:val="000306A4"/>
    <w:rsid w:val="00031337"/>
    <w:rsid w:val="00035F38"/>
    <w:rsid w:val="00047324"/>
    <w:rsid w:val="000601EC"/>
    <w:rsid w:val="000836C9"/>
    <w:rsid w:val="00086FF8"/>
    <w:rsid w:val="000926E3"/>
    <w:rsid w:val="00096248"/>
    <w:rsid w:val="000A1A7D"/>
    <w:rsid w:val="000B01E0"/>
    <w:rsid w:val="000B1EDE"/>
    <w:rsid w:val="000B498F"/>
    <w:rsid w:val="000C0FDB"/>
    <w:rsid w:val="000C3AD6"/>
    <w:rsid w:val="000C60C9"/>
    <w:rsid w:val="000D0819"/>
    <w:rsid w:val="000D2B31"/>
    <w:rsid w:val="000E2749"/>
    <w:rsid w:val="000F4FE9"/>
    <w:rsid w:val="000F66AE"/>
    <w:rsid w:val="00104A2E"/>
    <w:rsid w:val="00113A50"/>
    <w:rsid w:val="00154CA1"/>
    <w:rsid w:val="00163578"/>
    <w:rsid w:val="00172264"/>
    <w:rsid w:val="00173F74"/>
    <w:rsid w:val="001835D2"/>
    <w:rsid w:val="00183899"/>
    <w:rsid w:val="00193153"/>
    <w:rsid w:val="0019719C"/>
    <w:rsid w:val="001A0C2F"/>
    <w:rsid w:val="001B445E"/>
    <w:rsid w:val="001B471B"/>
    <w:rsid w:val="001B782E"/>
    <w:rsid w:val="001C18C0"/>
    <w:rsid w:val="001D2B8C"/>
    <w:rsid w:val="001D3976"/>
    <w:rsid w:val="001D6748"/>
    <w:rsid w:val="001E1006"/>
    <w:rsid w:val="001F2A13"/>
    <w:rsid w:val="001F575B"/>
    <w:rsid w:val="001F6C9A"/>
    <w:rsid w:val="001F791E"/>
    <w:rsid w:val="00207E56"/>
    <w:rsid w:val="002109F5"/>
    <w:rsid w:val="00212209"/>
    <w:rsid w:val="0022079F"/>
    <w:rsid w:val="002267AA"/>
    <w:rsid w:val="00227BE2"/>
    <w:rsid w:val="00231359"/>
    <w:rsid w:val="00244326"/>
    <w:rsid w:val="002549FE"/>
    <w:rsid w:val="002571B0"/>
    <w:rsid w:val="00262D9B"/>
    <w:rsid w:val="00264395"/>
    <w:rsid w:val="002708BA"/>
    <w:rsid w:val="00275C12"/>
    <w:rsid w:val="00287965"/>
    <w:rsid w:val="002929A4"/>
    <w:rsid w:val="00293587"/>
    <w:rsid w:val="002A3B59"/>
    <w:rsid w:val="002A5076"/>
    <w:rsid w:val="002B25BE"/>
    <w:rsid w:val="002B2AB9"/>
    <w:rsid w:val="002B4BAE"/>
    <w:rsid w:val="002E534A"/>
    <w:rsid w:val="002F4764"/>
    <w:rsid w:val="00301E18"/>
    <w:rsid w:val="00303D5F"/>
    <w:rsid w:val="00304B46"/>
    <w:rsid w:val="00305CB7"/>
    <w:rsid w:val="00306386"/>
    <w:rsid w:val="003114EC"/>
    <w:rsid w:val="00312627"/>
    <w:rsid w:val="0031372C"/>
    <w:rsid w:val="00313F54"/>
    <w:rsid w:val="003225C9"/>
    <w:rsid w:val="0032379D"/>
    <w:rsid w:val="00323FF4"/>
    <w:rsid w:val="003246D3"/>
    <w:rsid w:val="003336AE"/>
    <w:rsid w:val="00335312"/>
    <w:rsid w:val="003431CE"/>
    <w:rsid w:val="00343FA3"/>
    <w:rsid w:val="003445CB"/>
    <w:rsid w:val="00352C3C"/>
    <w:rsid w:val="00354D53"/>
    <w:rsid w:val="00355CA9"/>
    <w:rsid w:val="00356359"/>
    <w:rsid w:val="0036264A"/>
    <w:rsid w:val="00362D83"/>
    <w:rsid w:val="0036650A"/>
    <w:rsid w:val="00377B8F"/>
    <w:rsid w:val="00380E7E"/>
    <w:rsid w:val="003836CB"/>
    <w:rsid w:val="00384A85"/>
    <w:rsid w:val="00392205"/>
    <w:rsid w:val="00394184"/>
    <w:rsid w:val="00394932"/>
    <w:rsid w:val="00395C16"/>
    <w:rsid w:val="003A2104"/>
    <w:rsid w:val="003B385F"/>
    <w:rsid w:val="003B62FA"/>
    <w:rsid w:val="003C3EA2"/>
    <w:rsid w:val="003D3739"/>
    <w:rsid w:val="003D6C73"/>
    <w:rsid w:val="003D7583"/>
    <w:rsid w:val="003E0824"/>
    <w:rsid w:val="003E266D"/>
    <w:rsid w:val="003F741B"/>
    <w:rsid w:val="00404B9D"/>
    <w:rsid w:val="00406FED"/>
    <w:rsid w:val="004168B7"/>
    <w:rsid w:val="004210DE"/>
    <w:rsid w:val="004245C6"/>
    <w:rsid w:val="004272F9"/>
    <w:rsid w:val="00427C26"/>
    <w:rsid w:val="00432051"/>
    <w:rsid w:val="00433F7E"/>
    <w:rsid w:val="00435757"/>
    <w:rsid w:val="00436E0D"/>
    <w:rsid w:val="00446924"/>
    <w:rsid w:val="00450DF4"/>
    <w:rsid w:val="004631E2"/>
    <w:rsid w:val="00464A0B"/>
    <w:rsid w:val="00484DC8"/>
    <w:rsid w:val="00485269"/>
    <w:rsid w:val="0048782E"/>
    <w:rsid w:val="004A7618"/>
    <w:rsid w:val="004B132E"/>
    <w:rsid w:val="004B3C84"/>
    <w:rsid w:val="004B4869"/>
    <w:rsid w:val="004D5542"/>
    <w:rsid w:val="004D5649"/>
    <w:rsid w:val="004E2ACB"/>
    <w:rsid w:val="004E51C9"/>
    <w:rsid w:val="004E7402"/>
    <w:rsid w:val="004F2C71"/>
    <w:rsid w:val="004F3656"/>
    <w:rsid w:val="005144F0"/>
    <w:rsid w:val="005214B6"/>
    <w:rsid w:val="00534B5A"/>
    <w:rsid w:val="005418FC"/>
    <w:rsid w:val="005449B6"/>
    <w:rsid w:val="0055555B"/>
    <w:rsid w:val="00570E0A"/>
    <w:rsid w:val="00573A89"/>
    <w:rsid w:val="005875EA"/>
    <w:rsid w:val="0059443F"/>
    <w:rsid w:val="005C351F"/>
    <w:rsid w:val="005C51B9"/>
    <w:rsid w:val="005D6C01"/>
    <w:rsid w:val="005D6C87"/>
    <w:rsid w:val="005F3BC9"/>
    <w:rsid w:val="005F5927"/>
    <w:rsid w:val="00611904"/>
    <w:rsid w:val="006238F8"/>
    <w:rsid w:val="00630309"/>
    <w:rsid w:val="00631BD2"/>
    <w:rsid w:val="00631F15"/>
    <w:rsid w:val="00632724"/>
    <w:rsid w:val="00643A16"/>
    <w:rsid w:val="00647E4D"/>
    <w:rsid w:val="00651F1A"/>
    <w:rsid w:val="00652309"/>
    <w:rsid w:val="006609E4"/>
    <w:rsid w:val="006616F3"/>
    <w:rsid w:val="00661E02"/>
    <w:rsid w:val="006642A2"/>
    <w:rsid w:val="00670E6F"/>
    <w:rsid w:val="00671688"/>
    <w:rsid w:val="00677E2B"/>
    <w:rsid w:val="00680F74"/>
    <w:rsid w:val="00695445"/>
    <w:rsid w:val="00695CB2"/>
    <w:rsid w:val="00696D2D"/>
    <w:rsid w:val="006A0F82"/>
    <w:rsid w:val="006A15C0"/>
    <w:rsid w:val="006A5A43"/>
    <w:rsid w:val="006A6AB3"/>
    <w:rsid w:val="006B21A6"/>
    <w:rsid w:val="006C039C"/>
    <w:rsid w:val="006C5DC6"/>
    <w:rsid w:val="006D0B56"/>
    <w:rsid w:val="006D2A03"/>
    <w:rsid w:val="006D6919"/>
    <w:rsid w:val="006E0A45"/>
    <w:rsid w:val="00700CC7"/>
    <w:rsid w:val="0070340C"/>
    <w:rsid w:val="00705C29"/>
    <w:rsid w:val="00706A6B"/>
    <w:rsid w:val="0072493E"/>
    <w:rsid w:val="00727A8C"/>
    <w:rsid w:val="00734D75"/>
    <w:rsid w:val="00736DE0"/>
    <w:rsid w:val="00744F83"/>
    <w:rsid w:val="007469B0"/>
    <w:rsid w:val="007475C8"/>
    <w:rsid w:val="0075782F"/>
    <w:rsid w:val="00764725"/>
    <w:rsid w:val="00766738"/>
    <w:rsid w:val="00767E56"/>
    <w:rsid w:val="00771C01"/>
    <w:rsid w:val="00772150"/>
    <w:rsid w:val="00777228"/>
    <w:rsid w:val="00787947"/>
    <w:rsid w:val="007927C8"/>
    <w:rsid w:val="00793AD2"/>
    <w:rsid w:val="0079646F"/>
    <w:rsid w:val="007A39E9"/>
    <w:rsid w:val="007A5348"/>
    <w:rsid w:val="007A67E4"/>
    <w:rsid w:val="007B5A2A"/>
    <w:rsid w:val="007C0D2D"/>
    <w:rsid w:val="007C6983"/>
    <w:rsid w:val="007D217C"/>
    <w:rsid w:val="007D23DF"/>
    <w:rsid w:val="007D5B65"/>
    <w:rsid w:val="007E00D3"/>
    <w:rsid w:val="007E2237"/>
    <w:rsid w:val="007E52AD"/>
    <w:rsid w:val="007F3F41"/>
    <w:rsid w:val="007F71EB"/>
    <w:rsid w:val="007F76EC"/>
    <w:rsid w:val="00807738"/>
    <w:rsid w:val="00820B04"/>
    <w:rsid w:val="008242F1"/>
    <w:rsid w:val="00847AFD"/>
    <w:rsid w:val="008531F9"/>
    <w:rsid w:val="00853791"/>
    <w:rsid w:val="008547E5"/>
    <w:rsid w:val="008552CF"/>
    <w:rsid w:val="00865321"/>
    <w:rsid w:val="00867C8B"/>
    <w:rsid w:val="00874B30"/>
    <w:rsid w:val="00874E54"/>
    <w:rsid w:val="00875570"/>
    <w:rsid w:val="008778B4"/>
    <w:rsid w:val="00880E50"/>
    <w:rsid w:val="0088696E"/>
    <w:rsid w:val="00887E99"/>
    <w:rsid w:val="008A0600"/>
    <w:rsid w:val="008A0B0E"/>
    <w:rsid w:val="008B0DBE"/>
    <w:rsid w:val="008B285F"/>
    <w:rsid w:val="008B6FB0"/>
    <w:rsid w:val="008C4EF0"/>
    <w:rsid w:val="008D00B7"/>
    <w:rsid w:val="008D3038"/>
    <w:rsid w:val="008E5CF0"/>
    <w:rsid w:val="008F05EB"/>
    <w:rsid w:val="008F3D8E"/>
    <w:rsid w:val="00904BFB"/>
    <w:rsid w:val="00906291"/>
    <w:rsid w:val="0090676A"/>
    <w:rsid w:val="00912A38"/>
    <w:rsid w:val="0091421E"/>
    <w:rsid w:val="00917EDC"/>
    <w:rsid w:val="00924886"/>
    <w:rsid w:val="0093773A"/>
    <w:rsid w:val="009406BE"/>
    <w:rsid w:val="00942823"/>
    <w:rsid w:val="009447B7"/>
    <w:rsid w:val="0095200F"/>
    <w:rsid w:val="009635AC"/>
    <w:rsid w:val="00970C54"/>
    <w:rsid w:val="00980E17"/>
    <w:rsid w:val="00982CE5"/>
    <w:rsid w:val="00982E4F"/>
    <w:rsid w:val="009842CE"/>
    <w:rsid w:val="00994FC3"/>
    <w:rsid w:val="00994FD6"/>
    <w:rsid w:val="009A06FB"/>
    <w:rsid w:val="009B0CCB"/>
    <w:rsid w:val="009C1177"/>
    <w:rsid w:val="009C5AB1"/>
    <w:rsid w:val="009D6B92"/>
    <w:rsid w:val="009F2746"/>
    <w:rsid w:val="009F500B"/>
    <w:rsid w:val="009F5477"/>
    <w:rsid w:val="00A000C8"/>
    <w:rsid w:val="00A02202"/>
    <w:rsid w:val="00A05F4B"/>
    <w:rsid w:val="00A13CC2"/>
    <w:rsid w:val="00A1472B"/>
    <w:rsid w:val="00A158AF"/>
    <w:rsid w:val="00A20B4C"/>
    <w:rsid w:val="00A20EF9"/>
    <w:rsid w:val="00A2312C"/>
    <w:rsid w:val="00A26D8B"/>
    <w:rsid w:val="00A36033"/>
    <w:rsid w:val="00A6317D"/>
    <w:rsid w:val="00A64056"/>
    <w:rsid w:val="00A668D4"/>
    <w:rsid w:val="00A67101"/>
    <w:rsid w:val="00A72DBC"/>
    <w:rsid w:val="00A75ECC"/>
    <w:rsid w:val="00A777B7"/>
    <w:rsid w:val="00A87671"/>
    <w:rsid w:val="00A8768B"/>
    <w:rsid w:val="00A87BA2"/>
    <w:rsid w:val="00A92E67"/>
    <w:rsid w:val="00A933B7"/>
    <w:rsid w:val="00AA0421"/>
    <w:rsid w:val="00AA3ADF"/>
    <w:rsid w:val="00AA5ECC"/>
    <w:rsid w:val="00AA640C"/>
    <w:rsid w:val="00AB4E19"/>
    <w:rsid w:val="00AC2B9F"/>
    <w:rsid w:val="00AD04F5"/>
    <w:rsid w:val="00AD0B3D"/>
    <w:rsid w:val="00AD294B"/>
    <w:rsid w:val="00AD2E70"/>
    <w:rsid w:val="00AD55C6"/>
    <w:rsid w:val="00AD7F34"/>
    <w:rsid w:val="00AF04BE"/>
    <w:rsid w:val="00B00765"/>
    <w:rsid w:val="00B03323"/>
    <w:rsid w:val="00B04BA6"/>
    <w:rsid w:val="00B1294C"/>
    <w:rsid w:val="00B2143C"/>
    <w:rsid w:val="00B22D29"/>
    <w:rsid w:val="00B22DC9"/>
    <w:rsid w:val="00B23540"/>
    <w:rsid w:val="00B3602C"/>
    <w:rsid w:val="00B36EFD"/>
    <w:rsid w:val="00B412B1"/>
    <w:rsid w:val="00B43AB6"/>
    <w:rsid w:val="00B44155"/>
    <w:rsid w:val="00B448EB"/>
    <w:rsid w:val="00B46D0A"/>
    <w:rsid w:val="00B50E62"/>
    <w:rsid w:val="00B50FF1"/>
    <w:rsid w:val="00B51E45"/>
    <w:rsid w:val="00B5760D"/>
    <w:rsid w:val="00B724E1"/>
    <w:rsid w:val="00B72FE5"/>
    <w:rsid w:val="00B75D15"/>
    <w:rsid w:val="00B81476"/>
    <w:rsid w:val="00B85CFD"/>
    <w:rsid w:val="00B9156B"/>
    <w:rsid w:val="00B934A6"/>
    <w:rsid w:val="00B9655B"/>
    <w:rsid w:val="00BA5109"/>
    <w:rsid w:val="00BA7803"/>
    <w:rsid w:val="00BB3CE1"/>
    <w:rsid w:val="00BB425F"/>
    <w:rsid w:val="00BC1453"/>
    <w:rsid w:val="00BC2443"/>
    <w:rsid w:val="00BC37AD"/>
    <w:rsid w:val="00BC3995"/>
    <w:rsid w:val="00BC7E3D"/>
    <w:rsid w:val="00BD5B84"/>
    <w:rsid w:val="00BD62D4"/>
    <w:rsid w:val="00BE7BB0"/>
    <w:rsid w:val="00BF16B4"/>
    <w:rsid w:val="00BF187C"/>
    <w:rsid w:val="00BF56ED"/>
    <w:rsid w:val="00BF5B72"/>
    <w:rsid w:val="00C00576"/>
    <w:rsid w:val="00C03FBE"/>
    <w:rsid w:val="00C04462"/>
    <w:rsid w:val="00C10543"/>
    <w:rsid w:val="00C10580"/>
    <w:rsid w:val="00C11736"/>
    <w:rsid w:val="00C12048"/>
    <w:rsid w:val="00C15A45"/>
    <w:rsid w:val="00C176B0"/>
    <w:rsid w:val="00C20240"/>
    <w:rsid w:val="00C23374"/>
    <w:rsid w:val="00C24CDB"/>
    <w:rsid w:val="00C35DC3"/>
    <w:rsid w:val="00C4579D"/>
    <w:rsid w:val="00C47550"/>
    <w:rsid w:val="00C541CB"/>
    <w:rsid w:val="00C54730"/>
    <w:rsid w:val="00C57808"/>
    <w:rsid w:val="00C602B3"/>
    <w:rsid w:val="00C6266C"/>
    <w:rsid w:val="00C74BA0"/>
    <w:rsid w:val="00C75A1F"/>
    <w:rsid w:val="00C93962"/>
    <w:rsid w:val="00CC0713"/>
    <w:rsid w:val="00CC2771"/>
    <w:rsid w:val="00CC2962"/>
    <w:rsid w:val="00CE3361"/>
    <w:rsid w:val="00CE738D"/>
    <w:rsid w:val="00CF11E1"/>
    <w:rsid w:val="00CF67AB"/>
    <w:rsid w:val="00D0021E"/>
    <w:rsid w:val="00D01455"/>
    <w:rsid w:val="00D02B83"/>
    <w:rsid w:val="00D14209"/>
    <w:rsid w:val="00D17232"/>
    <w:rsid w:val="00D20AEA"/>
    <w:rsid w:val="00D21329"/>
    <w:rsid w:val="00D24C89"/>
    <w:rsid w:val="00D3170E"/>
    <w:rsid w:val="00D32C14"/>
    <w:rsid w:val="00D34C24"/>
    <w:rsid w:val="00D404BC"/>
    <w:rsid w:val="00D6049B"/>
    <w:rsid w:val="00D6307B"/>
    <w:rsid w:val="00D64FDF"/>
    <w:rsid w:val="00D81145"/>
    <w:rsid w:val="00D8142E"/>
    <w:rsid w:val="00D81F05"/>
    <w:rsid w:val="00D82083"/>
    <w:rsid w:val="00D82A5C"/>
    <w:rsid w:val="00DA3761"/>
    <w:rsid w:val="00DA5963"/>
    <w:rsid w:val="00DC06A2"/>
    <w:rsid w:val="00DC1166"/>
    <w:rsid w:val="00DC42EB"/>
    <w:rsid w:val="00DC61A5"/>
    <w:rsid w:val="00DC716C"/>
    <w:rsid w:val="00DD0C6F"/>
    <w:rsid w:val="00DE5F04"/>
    <w:rsid w:val="00E0027D"/>
    <w:rsid w:val="00E015E2"/>
    <w:rsid w:val="00E155A0"/>
    <w:rsid w:val="00E2090F"/>
    <w:rsid w:val="00E23BD9"/>
    <w:rsid w:val="00E26C4C"/>
    <w:rsid w:val="00E276F9"/>
    <w:rsid w:val="00E41D0F"/>
    <w:rsid w:val="00E54A18"/>
    <w:rsid w:val="00E55109"/>
    <w:rsid w:val="00E569BB"/>
    <w:rsid w:val="00E61CCE"/>
    <w:rsid w:val="00E75667"/>
    <w:rsid w:val="00E77AAE"/>
    <w:rsid w:val="00E9209B"/>
    <w:rsid w:val="00E96E1F"/>
    <w:rsid w:val="00E96F23"/>
    <w:rsid w:val="00EA0DCA"/>
    <w:rsid w:val="00EA3983"/>
    <w:rsid w:val="00EA6C5F"/>
    <w:rsid w:val="00EA6EDF"/>
    <w:rsid w:val="00EB1837"/>
    <w:rsid w:val="00EB26AE"/>
    <w:rsid w:val="00EC4B7C"/>
    <w:rsid w:val="00ED72AF"/>
    <w:rsid w:val="00EE27D6"/>
    <w:rsid w:val="00EE6553"/>
    <w:rsid w:val="00EF0949"/>
    <w:rsid w:val="00EF4DEE"/>
    <w:rsid w:val="00EF6D41"/>
    <w:rsid w:val="00F0189E"/>
    <w:rsid w:val="00F05F92"/>
    <w:rsid w:val="00F06268"/>
    <w:rsid w:val="00F11FFB"/>
    <w:rsid w:val="00F12B04"/>
    <w:rsid w:val="00F16930"/>
    <w:rsid w:val="00F26B9C"/>
    <w:rsid w:val="00F27961"/>
    <w:rsid w:val="00F31109"/>
    <w:rsid w:val="00F32227"/>
    <w:rsid w:val="00F3718D"/>
    <w:rsid w:val="00F37C89"/>
    <w:rsid w:val="00F41055"/>
    <w:rsid w:val="00F47D90"/>
    <w:rsid w:val="00F52B18"/>
    <w:rsid w:val="00F52CD2"/>
    <w:rsid w:val="00F52D48"/>
    <w:rsid w:val="00F54657"/>
    <w:rsid w:val="00F63D07"/>
    <w:rsid w:val="00F65BD6"/>
    <w:rsid w:val="00F74CC0"/>
    <w:rsid w:val="00F76AAC"/>
    <w:rsid w:val="00F8177D"/>
    <w:rsid w:val="00F81C28"/>
    <w:rsid w:val="00F85563"/>
    <w:rsid w:val="00F87587"/>
    <w:rsid w:val="00F938C3"/>
    <w:rsid w:val="00FA47A3"/>
    <w:rsid w:val="00FA4C01"/>
    <w:rsid w:val="00FB11F8"/>
    <w:rsid w:val="00FB3443"/>
    <w:rsid w:val="00FB48C8"/>
    <w:rsid w:val="00FB5CBF"/>
    <w:rsid w:val="00FD20B5"/>
    <w:rsid w:val="00FD4274"/>
    <w:rsid w:val="00FE17BC"/>
    <w:rsid w:val="00FE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C926"/>
  <w15:chartTrackingRefBased/>
  <w15:docId w15:val="{70A9E7CE-F3EC-4395-8B2C-745941A4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60" w:lineRule="auto"/>
        <w:ind w:left="357"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E1"/>
  </w:style>
  <w:style w:type="paragraph" w:styleId="Heading1">
    <w:name w:val="heading 1"/>
    <w:basedOn w:val="Normal"/>
    <w:link w:val="Heading1Char"/>
    <w:uiPriority w:val="9"/>
    <w:qFormat/>
    <w:rsid w:val="00F31109"/>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7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45"/>
  </w:style>
  <w:style w:type="paragraph" w:styleId="Footer">
    <w:name w:val="footer"/>
    <w:basedOn w:val="Normal"/>
    <w:link w:val="FooterChar"/>
    <w:uiPriority w:val="99"/>
    <w:unhideWhenUsed/>
    <w:rsid w:val="00B5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45"/>
  </w:style>
  <w:style w:type="paragraph" w:styleId="NormalWeb">
    <w:name w:val="Normal (Web)"/>
    <w:basedOn w:val="Normal"/>
    <w:uiPriority w:val="99"/>
    <w:unhideWhenUsed/>
    <w:rsid w:val="00BC7E3D"/>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B9655B"/>
  </w:style>
  <w:style w:type="character" w:customStyle="1" w:styleId="Heading1Char">
    <w:name w:val="Heading 1 Char"/>
    <w:basedOn w:val="DefaultParagraphFont"/>
    <w:link w:val="Heading1"/>
    <w:uiPriority w:val="9"/>
    <w:rsid w:val="00F311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31109"/>
    <w:pPr>
      <w:ind w:left="720"/>
      <w:contextualSpacing/>
    </w:pPr>
  </w:style>
  <w:style w:type="table" w:styleId="TableGrid">
    <w:name w:val="Table Grid"/>
    <w:basedOn w:val="TableNormal"/>
    <w:uiPriority w:val="39"/>
    <w:rsid w:val="002B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FF4"/>
    <w:rPr>
      <w:color w:val="808080"/>
    </w:rPr>
  </w:style>
  <w:style w:type="character" w:customStyle="1" w:styleId="Heading2Char">
    <w:name w:val="Heading 2 Char"/>
    <w:basedOn w:val="DefaultParagraphFont"/>
    <w:link w:val="Heading2"/>
    <w:uiPriority w:val="9"/>
    <w:rsid w:val="00E77A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42C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276F9"/>
    <w:pPr>
      <w:widowControl w:val="0"/>
      <w:autoSpaceDE w:val="0"/>
      <w:autoSpaceDN w:val="0"/>
      <w:spacing w:before="94" w:after="0" w:line="240" w:lineRule="auto"/>
      <w:ind w:left="67" w:firstLine="0"/>
      <w:jc w:val="left"/>
    </w:pPr>
    <w:rPr>
      <w:rFonts w:ascii="Cambria" w:eastAsia="Cambria" w:hAnsi="Cambria" w:cs="Cambria"/>
    </w:rPr>
  </w:style>
  <w:style w:type="table" w:customStyle="1" w:styleId="2">
    <w:name w:val="2"/>
    <w:basedOn w:val="TableNormal"/>
    <w:rsid w:val="002B25BE"/>
    <w:pPr>
      <w:spacing w:after="0" w:line="240" w:lineRule="auto"/>
      <w:ind w:left="0" w:firstLine="0"/>
      <w:jc w:val="left"/>
    </w:pPr>
    <w:rPr>
      <w:rFonts w:ascii="Calibri" w:eastAsia="Calibri" w:hAnsi="Calibri" w:cs="Calibri"/>
      <w:color w:val="000000"/>
      <w:lang w:val="en-GB"/>
    </w:rPr>
    <w:tblPr>
      <w:tblStyleRowBandSize w:val="1"/>
      <w:tblStyleColBandSize w:val="1"/>
    </w:tblPr>
  </w:style>
  <w:style w:type="character" w:styleId="Hyperlink">
    <w:name w:val="Hyperlink"/>
    <w:basedOn w:val="DefaultParagraphFont"/>
    <w:uiPriority w:val="99"/>
    <w:unhideWhenUsed/>
    <w:rsid w:val="00E23BD9"/>
    <w:rPr>
      <w:color w:val="0563C1" w:themeColor="hyperlink"/>
      <w:u w:val="single"/>
    </w:rPr>
  </w:style>
  <w:style w:type="character" w:styleId="UnresolvedMention">
    <w:name w:val="Unresolved Mention"/>
    <w:basedOn w:val="DefaultParagraphFont"/>
    <w:uiPriority w:val="99"/>
    <w:semiHidden/>
    <w:unhideWhenUsed/>
    <w:rsid w:val="00E2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112">
      <w:bodyDiv w:val="1"/>
      <w:marLeft w:val="0"/>
      <w:marRight w:val="0"/>
      <w:marTop w:val="0"/>
      <w:marBottom w:val="0"/>
      <w:divBdr>
        <w:top w:val="none" w:sz="0" w:space="0" w:color="auto"/>
        <w:left w:val="none" w:sz="0" w:space="0" w:color="auto"/>
        <w:bottom w:val="none" w:sz="0" w:space="0" w:color="auto"/>
        <w:right w:val="none" w:sz="0" w:space="0" w:color="auto"/>
      </w:divBdr>
    </w:div>
    <w:div w:id="164710587">
      <w:bodyDiv w:val="1"/>
      <w:marLeft w:val="0"/>
      <w:marRight w:val="0"/>
      <w:marTop w:val="0"/>
      <w:marBottom w:val="0"/>
      <w:divBdr>
        <w:top w:val="none" w:sz="0" w:space="0" w:color="auto"/>
        <w:left w:val="none" w:sz="0" w:space="0" w:color="auto"/>
        <w:bottom w:val="none" w:sz="0" w:space="0" w:color="auto"/>
        <w:right w:val="none" w:sz="0" w:space="0" w:color="auto"/>
      </w:divBdr>
    </w:div>
    <w:div w:id="261375302">
      <w:bodyDiv w:val="1"/>
      <w:marLeft w:val="0"/>
      <w:marRight w:val="0"/>
      <w:marTop w:val="0"/>
      <w:marBottom w:val="0"/>
      <w:divBdr>
        <w:top w:val="none" w:sz="0" w:space="0" w:color="auto"/>
        <w:left w:val="none" w:sz="0" w:space="0" w:color="auto"/>
        <w:bottom w:val="none" w:sz="0" w:space="0" w:color="auto"/>
        <w:right w:val="none" w:sz="0" w:space="0" w:color="auto"/>
      </w:divBdr>
    </w:div>
    <w:div w:id="285505812">
      <w:bodyDiv w:val="1"/>
      <w:marLeft w:val="0"/>
      <w:marRight w:val="0"/>
      <w:marTop w:val="0"/>
      <w:marBottom w:val="0"/>
      <w:divBdr>
        <w:top w:val="none" w:sz="0" w:space="0" w:color="auto"/>
        <w:left w:val="none" w:sz="0" w:space="0" w:color="auto"/>
        <w:bottom w:val="none" w:sz="0" w:space="0" w:color="auto"/>
        <w:right w:val="none" w:sz="0" w:space="0" w:color="auto"/>
      </w:divBdr>
    </w:div>
    <w:div w:id="290206286">
      <w:bodyDiv w:val="1"/>
      <w:marLeft w:val="0"/>
      <w:marRight w:val="0"/>
      <w:marTop w:val="0"/>
      <w:marBottom w:val="0"/>
      <w:divBdr>
        <w:top w:val="none" w:sz="0" w:space="0" w:color="auto"/>
        <w:left w:val="none" w:sz="0" w:space="0" w:color="auto"/>
        <w:bottom w:val="none" w:sz="0" w:space="0" w:color="auto"/>
        <w:right w:val="none" w:sz="0" w:space="0" w:color="auto"/>
      </w:divBdr>
    </w:div>
    <w:div w:id="291135360">
      <w:bodyDiv w:val="1"/>
      <w:marLeft w:val="0"/>
      <w:marRight w:val="0"/>
      <w:marTop w:val="0"/>
      <w:marBottom w:val="0"/>
      <w:divBdr>
        <w:top w:val="none" w:sz="0" w:space="0" w:color="auto"/>
        <w:left w:val="none" w:sz="0" w:space="0" w:color="auto"/>
        <w:bottom w:val="none" w:sz="0" w:space="0" w:color="auto"/>
        <w:right w:val="none" w:sz="0" w:space="0" w:color="auto"/>
      </w:divBdr>
    </w:div>
    <w:div w:id="348677655">
      <w:bodyDiv w:val="1"/>
      <w:marLeft w:val="0"/>
      <w:marRight w:val="0"/>
      <w:marTop w:val="0"/>
      <w:marBottom w:val="0"/>
      <w:divBdr>
        <w:top w:val="none" w:sz="0" w:space="0" w:color="auto"/>
        <w:left w:val="none" w:sz="0" w:space="0" w:color="auto"/>
        <w:bottom w:val="none" w:sz="0" w:space="0" w:color="auto"/>
        <w:right w:val="none" w:sz="0" w:space="0" w:color="auto"/>
      </w:divBdr>
    </w:div>
    <w:div w:id="382405843">
      <w:bodyDiv w:val="1"/>
      <w:marLeft w:val="0"/>
      <w:marRight w:val="0"/>
      <w:marTop w:val="0"/>
      <w:marBottom w:val="0"/>
      <w:divBdr>
        <w:top w:val="none" w:sz="0" w:space="0" w:color="auto"/>
        <w:left w:val="none" w:sz="0" w:space="0" w:color="auto"/>
        <w:bottom w:val="none" w:sz="0" w:space="0" w:color="auto"/>
        <w:right w:val="none" w:sz="0" w:space="0" w:color="auto"/>
      </w:divBdr>
    </w:div>
    <w:div w:id="413823297">
      <w:bodyDiv w:val="1"/>
      <w:marLeft w:val="0"/>
      <w:marRight w:val="0"/>
      <w:marTop w:val="0"/>
      <w:marBottom w:val="0"/>
      <w:divBdr>
        <w:top w:val="none" w:sz="0" w:space="0" w:color="auto"/>
        <w:left w:val="none" w:sz="0" w:space="0" w:color="auto"/>
        <w:bottom w:val="none" w:sz="0" w:space="0" w:color="auto"/>
        <w:right w:val="none" w:sz="0" w:space="0" w:color="auto"/>
      </w:divBdr>
    </w:div>
    <w:div w:id="487861431">
      <w:bodyDiv w:val="1"/>
      <w:marLeft w:val="0"/>
      <w:marRight w:val="0"/>
      <w:marTop w:val="0"/>
      <w:marBottom w:val="0"/>
      <w:divBdr>
        <w:top w:val="none" w:sz="0" w:space="0" w:color="auto"/>
        <w:left w:val="none" w:sz="0" w:space="0" w:color="auto"/>
        <w:bottom w:val="none" w:sz="0" w:space="0" w:color="auto"/>
        <w:right w:val="none" w:sz="0" w:space="0" w:color="auto"/>
      </w:divBdr>
    </w:div>
    <w:div w:id="537553500">
      <w:bodyDiv w:val="1"/>
      <w:marLeft w:val="0"/>
      <w:marRight w:val="0"/>
      <w:marTop w:val="0"/>
      <w:marBottom w:val="0"/>
      <w:divBdr>
        <w:top w:val="none" w:sz="0" w:space="0" w:color="auto"/>
        <w:left w:val="none" w:sz="0" w:space="0" w:color="auto"/>
        <w:bottom w:val="none" w:sz="0" w:space="0" w:color="auto"/>
        <w:right w:val="none" w:sz="0" w:space="0" w:color="auto"/>
      </w:divBdr>
    </w:div>
    <w:div w:id="592737428">
      <w:bodyDiv w:val="1"/>
      <w:marLeft w:val="0"/>
      <w:marRight w:val="0"/>
      <w:marTop w:val="0"/>
      <w:marBottom w:val="0"/>
      <w:divBdr>
        <w:top w:val="none" w:sz="0" w:space="0" w:color="auto"/>
        <w:left w:val="none" w:sz="0" w:space="0" w:color="auto"/>
        <w:bottom w:val="none" w:sz="0" w:space="0" w:color="auto"/>
        <w:right w:val="none" w:sz="0" w:space="0" w:color="auto"/>
      </w:divBdr>
    </w:div>
    <w:div w:id="663317821">
      <w:bodyDiv w:val="1"/>
      <w:marLeft w:val="0"/>
      <w:marRight w:val="0"/>
      <w:marTop w:val="0"/>
      <w:marBottom w:val="0"/>
      <w:divBdr>
        <w:top w:val="none" w:sz="0" w:space="0" w:color="auto"/>
        <w:left w:val="none" w:sz="0" w:space="0" w:color="auto"/>
        <w:bottom w:val="none" w:sz="0" w:space="0" w:color="auto"/>
        <w:right w:val="none" w:sz="0" w:space="0" w:color="auto"/>
      </w:divBdr>
    </w:div>
    <w:div w:id="716514791">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
    <w:div w:id="945886701">
      <w:bodyDiv w:val="1"/>
      <w:marLeft w:val="0"/>
      <w:marRight w:val="0"/>
      <w:marTop w:val="0"/>
      <w:marBottom w:val="0"/>
      <w:divBdr>
        <w:top w:val="none" w:sz="0" w:space="0" w:color="auto"/>
        <w:left w:val="none" w:sz="0" w:space="0" w:color="auto"/>
        <w:bottom w:val="none" w:sz="0" w:space="0" w:color="auto"/>
        <w:right w:val="none" w:sz="0" w:space="0" w:color="auto"/>
      </w:divBdr>
    </w:div>
    <w:div w:id="946350196">
      <w:bodyDiv w:val="1"/>
      <w:marLeft w:val="0"/>
      <w:marRight w:val="0"/>
      <w:marTop w:val="0"/>
      <w:marBottom w:val="0"/>
      <w:divBdr>
        <w:top w:val="none" w:sz="0" w:space="0" w:color="auto"/>
        <w:left w:val="none" w:sz="0" w:space="0" w:color="auto"/>
        <w:bottom w:val="none" w:sz="0" w:space="0" w:color="auto"/>
        <w:right w:val="none" w:sz="0" w:space="0" w:color="auto"/>
      </w:divBdr>
    </w:div>
    <w:div w:id="984357494">
      <w:bodyDiv w:val="1"/>
      <w:marLeft w:val="0"/>
      <w:marRight w:val="0"/>
      <w:marTop w:val="0"/>
      <w:marBottom w:val="0"/>
      <w:divBdr>
        <w:top w:val="none" w:sz="0" w:space="0" w:color="auto"/>
        <w:left w:val="none" w:sz="0" w:space="0" w:color="auto"/>
        <w:bottom w:val="none" w:sz="0" w:space="0" w:color="auto"/>
        <w:right w:val="none" w:sz="0" w:space="0" w:color="auto"/>
      </w:divBdr>
    </w:div>
    <w:div w:id="1003825763">
      <w:bodyDiv w:val="1"/>
      <w:marLeft w:val="0"/>
      <w:marRight w:val="0"/>
      <w:marTop w:val="0"/>
      <w:marBottom w:val="0"/>
      <w:divBdr>
        <w:top w:val="none" w:sz="0" w:space="0" w:color="auto"/>
        <w:left w:val="none" w:sz="0" w:space="0" w:color="auto"/>
        <w:bottom w:val="none" w:sz="0" w:space="0" w:color="auto"/>
        <w:right w:val="none" w:sz="0" w:space="0" w:color="auto"/>
      </w:divBdr>
    </w:div>
    <w:div w:id="1024869109">
      <w:bodyDiv w:val="1"/>
      <w:marLeft w:val="0"/>
      <w:marRight w:val="0"/>
      <w:marTop w:val="0"/>
      <w:marBottom w:val="0"/>
      <w:divBdr>
        <w:top w:val="none" w:sz="0" w:space="0" w:color="auto"/>
        <w:left w:val="none" w:sz="0" w:space="0" w:color="auto"/>
        <w:bottom w:val="none" w:sz="0" w:space="0" w:color="auto"/>
        <w:right w:val="none" w:sz="0" w:space="0" w:color="auto"/>
      </w:divBdr>
    </w:div>
    <w:div w:id="1080562569">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45196957">
      <w:bodyDiv w:val="1"/>
      <w:marLeft w:val="0"/>
      <w:marRight w:val="0"/>
      <w:marTop w:val="0"/>
      <w:marBottom w:val="0"/>
      <w:divBdr>
        <w:top w:val="none" w:sz="0" w:space="0" w:color="auto"/>
        <w:left w:val="none" w:sz="0" w:space="0" w:color="auto"/>
        <w:bottom w:val="none" w:sz="0" w:space="0" w:color="auto"/>
        <w:right w:val="none" w:sz="0" w:space="0" w:color="auto"/>
      </w:divBdr>
    </w:div>
    <w:div w:id="1157107272">
      <w:bodyDiv w:val="1"/>
      <w:marLeft w:val="0"/>
      <w:marRight w:val="0"/>
      <w:marTop w:val="0"/>
      <w:marBottom w:val="0"/>
      <w:divBdr>
        <w:top w:val="none" w:sz="0" w:space="0" w:color="auto"/>
        <w:left w:val="none" w:sz="0" w:space="0" w:color="auto"/>
        <w:bottom w:val="none" w:sz="0" w:space="0" w:color="auto"/>
        <w:right w:val="none" w:sz="0" w:space="0" w:color="auto"/>
      </w:divBdr>
    </w:div>
    <w:div w:id="1205672911">
      <w:bodyDiv w:val="1"/>
      <w:marLeft w:val="0"/>
      <w:marRight w:val="0"/>
      <w:marTop w:val="0"/>
      <w:marBottom w:val="0"/>
      <w:divBdr>
        <w:top w:val="none" w:sz="0" w:space="0" w:color="auto"/>
        <w:left w:val="none" w:sz="0" w:space="0" w:color="auto"/>
        <w:bottom w:val="none" w:sz="0" w:space="0" w:color="auto"/>
        <w:right w:val="none" w:sz="0" w:space="0" w:color="auto"/>
      </w:divBdr>
    </w:div>
    <w:div w:id="1383022637">
      <w:bodyDiv w:val="1"/>
      <w:marLeft w:val="0"/>
      <w:marRight w:val="0"/>
      <w:marTop w:val="0"/>
      <w:marBottom w:val="0"/>
      <w:divBdr>
        <w:top w:val="none" w:sz="0" w:space="0" w:color="auto"/>
        <w:left w:val="none" w:sz="0" w:space="0" w:color="auto"/>
        <w:bottom w:val="none" w:sz="0" w:space="0" w:color="auto"/>
        <w:right w:val="none" w:sz="0" w:space="0" w:color="auto"/>
      </w:divBdr>
    </w:div>
    <w:div w:id="1391229003">
      <w:bodyDiv w:val="1"/>
      <w:marLeft w:val="0"/>
      <w:marRight w:val="0"/>
      <w:marTop w:val="0"/>
      <w:marBottom w:val="0"/>
      <w:divBdr>
        <w:top w:val="none" w:sz="0" w:space="0" w:color="auto"/>
        <w:left w:val="none" w:sz="0" w:space="0" w:color="auto"/>
        <w:bottom w:val="none" w:sz="0" w:space="0" w:color="auto"/>
        <w:right w:val="none" w:sz="0" w:space="0" w:color="auto"/>
      </w:divBdr>
    </w:div>
    <w:div w:id="1394540781">
      <w:bodyDiv w:val="1"/>
      <w:marLeft w:val="0"/>
      <w:marRight w:val="0"/>
      <w:marTop w:val="0"/>
      <w:marBottom w:val="0"/>
      <w:divBdr>
        <w:top w:val="none" w:sz="0" w:space="0" w:color="auto"/>
        <w:left w:val="none" w:sz="0" w:space="0" w:color="auto"/>
        <w:bottom w:val="none" w:sz="0" w:space="0" w:color="auto"/>
        <w:right w:val="none" w:sz="0" w:space="0" w:color="auto"/>
      </w:divBdr>
    </w:div>
    <w:div w:id="1401168877">
      <w:bodyDiv w:val="1"/>
      <w:marLeft w:val="0"/>
      <w:marRight w:val="0"/>
      <w:marTop w:val="0"/>
      <w:marBottom w:val="0"/>
      <w:divBdr>
        <w:top w:val="none" w:sz="0" w:space="0" w:color="auto"/>
        <w:left w:val="none" w:sz="0" w:space="0" w:color="auto"/>
        <w:bottom w:val="none" w:sz="0" w:space="0" w:color="auto"/>
        <w:right w:val="none" w:sz="0" w:space="0" w:color="auto"/>
      </w:divBdr>
    </w:div>
    <w:div w:id="1406803080">
      <w:bodyDiv w:val="1"/>
      <w:marLeft w:val="0"/>
      <w:marRight w:val="0"/>
      <w:marTop w:val="0"/>
      <w:marBottom w:val="0"/>
      <w:divBdr>
        <w:top w:val="none" w:sz="0" w:space="0" w:color="auto"/>
        <w:left w:val="none" w:sz="0" w:space="0" w:color="auto"/>
        <w:bottom w:val="none" w:sz="0" w:space="0" w:color="auto"/>
        <w:right w:val="none" w:sz="0" w:space="0" w:color="auto"/>
      </w:divBdr>
    </w:div>
    <w:div w:id="1443257164">
      <w:bodyDiv w:val="1"/>
      <w:marLeft w:val="0"/>
      <w:marRight w:val="0"/>
      <w:marTop w:val="0"/>
      <w:marBottom w:val="0"/>
      <w:divBdr>
        <w:top w:val="none" w:sz="0" w:space="0" w:color="auto"/>
        <w:left w:val="none" w:sz="0" w:space="0" w:color="auto"/>
        <w:bottom w:val="none" w:sz="0" w:space="0" w:color="auto"/>
        <w:right w:val="none" w:sz="0" w:space="0" w:color="auto"/>
      </w:divBdr>
    </w:div>
    <w:div w:id="1552838282">
      <w:bodyDiv w:val="1"/>
      <w:marLeft w:val="0"/>
      <w:marRight w:val="0"/>
      <w:marTop w:val="0"/>
      <w:marBottom w:val="0"/>
      <w:divBdr>
        <w:top w:val="none" w:sz="0" w:space="0" w:color="auto"/>
        <w:left w:val="none" w:sz="0" w:space="0" w:color="auto"/>
        <w:bottom w:val="none" w:sz="0" w:space="0" w:color="auto"/>
        <w:right w:val="none" w:sz="0" w:space="0" w:color="auto"/>
      </w:divBdr>
    </w:div>
    <w:div w:id="1584216818">
      <w:bodyDiv w:val="1"/>
      <w:marLeft w:val="0"/>
      <w:marRight w:val="0"/>
      <w:marTop w:val="0"/>
      <w:marBottom w:val="0"/>
      <w:divBdr>
        <w:top w:val="none" w:sz="0" w:space="0" w:color="auto"/>
        <w:left w:val="none" w:sz="0" w:space="0" w:color="auto"/>
        <w:bottom w:val="none" w:sz="0" w:space="0" w:color="auto"/>
        <w:right w:val="none" w:sz="0" w:space="0" w:color="auto"/>
      </w:divBdr>
    </w:div>
    <w:div w:id="1584955105">
      <w:bodyDiv w:val="1"/>
      <w:marLeft w:val="0"/>
      <w:marRight w:val="0"/>
      <w:marTop w:val="0"/>
      <w:marBottom w:val="0"/>
      <w:divBdr>
        <w:top w:val="none" w:sz="0" w:space="0" w:color="auto"/>
        <w:left w:val="none" w:sz="0" w:space="0" w:color="auto"/>
        <w:bottom w:val="none" w:sz="0" w:space="0" w:color="auto"/>
        <w:right w:val="none" w:sz="0" w:space="0" w:color="auto"/>
      </w:divBdr>
    </w:div>
    <w:div w:id="1636642620">
      <w:bodyDiv w:val="1"/>
      <w:marLeft w:val="0"/>
      <w:marRight w:val="0"/>
      <w:marTop w:val="0"/>
      <w:marBottom w:val="0"/>
      <w:divBdr>
        <w:top w:val="none" w:sz="0" w:space="0" w:color="auto"/>
        <w:left w:val="none" w:sz="0" w:space="0" w:color="auto"/>
        <w:bottom w:val="none" w:sz="0" w:space="0" w:color="auto"/>
        <w:right w:val="none" w:sz="0" w:space="0" w:color="auto"/>
      </w:divBdr>
    </w:div>
    <w:div w:id="1661347538">
      <w:bodyDiv w:val="1"/>
      <w:marLeft w:val="0"/>
      <w:marRight w:val="0"/>
      <w:marTop w:val="0"/>
      <w:marBottom w:val="0"/>
      <w:divBdr>
        <w:top w:val="none" w:sz="0" w:space="0" w:color="auto"/>
        <w:left w:val="none" w:sz="0" w:space="0" w:color="auto"/>
        <w:bottom w:val="none" w:sz="0" w:space="0" w:color="auto"/>
        <w:right w:val="none" w:sz="0" w:space="0" w:color="auto"/>
      </w:divBdr>
    </w:div>
    <w:div w:id="1709642885">
      <w:bodyDiv w:val="1"/>
      <w:marLeft w:val="0"/>
      <w:marRight w:val="0"/>
      <w:marTop w:val="0"/>
      <w:marBottom w:val="0"/>
      <w:divBdr>
        <w:top w:val="none" w:sz="0" w:space="0" w:color="auto"/>
        <w:left w:val="none" w:sz="0" w:space="0" w:color="auto"/>
        <w:bottom w:val="none" w:sz="0" w:space="0" w:color="auto"/>
        <w:right w:val="none" w:sz="0" w:space="0" w:color="auto"/>
      </w:divBdr>
    </w:div>
    <w:div w:id="1776750923">
      <w:bodyDiv w:val="1"/>
      <w:marLeft w:val="0"/>
      <w:marRight w:val="0"/>
      <w:marTop w:val="0"/>
      <w:marBottom w:val="0"/>
      <w:divBdr>
        <w:top w:val="none" w:sz="0" w:space="0" w:color="auto"/>
        <w:left w:val="none" w:sz="0" w:space="0" w:color="auto"/>
        <w:bottom w:val="none" w:sz="0" w:space="0" w:color="auto"/>
        <w:right w:val="none" w:sz="0" w:space="0" w:color="auto"/>
      </w:divBdr>
    </w:div>
    <w:div w:id="1776829210">
      <w:bodyDiv w:val="1"/>
      <w:marLeft w:val="0"/>
      <w:marRight w:val="0"/>
      <w:marTop w:val="0"/>
      <w:marBottom w:val="0"/>
      <w:divBdr>
        <w:top w:val="none" w:sz="0" w:space="0" w:color="auto"/>
        <w:left w:val="none" w:sz="0" w:space="0" w:color="auto"/>
        <w:bottom w:val="none" w:sz="0" w:space="0" w:color="auto"/>
        <w:right w:val="none" w:sz="0" w:space="0" w:color="auto"/>
      </w:divBdr>
    </w:div>
    <w:div w:id="1778527128">
      <w:bodyDiv w:val="1"/>
      <w:marLeft w:val="0"/>
      <w:marRight w:val="0"/>
      <w:marTop w:val="0"/>
      <w:marBottom w:val="0"/>
      <w:divBdr>
        <w:top w:val="none" w:sz="0" w:space="0" w:color="auto"/>
        <w:left w:val="none" w:sz="0" w:space="0" w:color="auto"/>
        <w:bottom w:val="none" w:sz="0" w:space="0" w:color="auto"/>
        <w:right w:val="none" w:sz="0" w:space="0" w:color="auto"/>
      </w:divBdr>
    </w:div>
    <w:div w:id="1839691933">
      <w:bodyDiv w:val="1"/>
      <w:marLeft w:val="0"/>
      <w:marRight w:val="0"/>
      <w:marTop w:val="0"/>
      <w:marBottom w:val="0"/>
      <w:divBdr>
        <w:top w:val="none" w:sz="0" w:space="0" w:color="auto"/>
        <w:left w:val="none" w:sz="0" w:space="0" w:color="auto"/>
        <w:bottom w:val="none" w:sz="0" w:space="0" w:color="auto"/>
        <w:right w:val="none" w:sz="0" w:space="0" w:color="auto"/>
      </w:divBdr>
    </w:div>
    <w:div w:id="1883208140">
      <w:bodyDiv w:val="1"/>
      <w:marLeft w:val="0"/>
      <w:marRight w:val="0"/>
      <w:marTop w:val="0"/>
      <w:marBottom w:val="0"/>
      <w:divBdr>
        <w:top w:val="none" w:sz="0" w:space="0" w:color="auto"/>
        <w:left w:val="none" w:sz="0" w:space="0" w:color="auto"/>
        <w:bottom w:val="none" w:sz="0" w:space="0" w:color="auto"/>
        <w:right w:val="none" w:sz="0" w:space="0" w:color="auto"/>
      </w:divBdr>
    </w:div>
    <w:div w:id="1954939685">
      <w:bodyDiv w:val="1"/>
      <w:marLeft w:val="0"/>
      <w:marRight w:val="0"/>
      <w:marTop w:val="0"/>
      <w:marBottom w:val="0"/>
      <w:divBdr>
        <w:top w:val="none" w:sz="0" w:space="0" w:color="auto"/>
        <w:left w:val="none" w:sz="0" w:space="0" w:color="auto"/>
        <w:bottom w:val="none" w:sz="0" w:space="0" w:color="auto"/>
        <w:right w:val="none" w:sz="0" w:space="0" w:color="auto"/>
      </w:divBdr>
    </w:div>
    <w:div w:id="1978532789">
      <w:bodyDiv w:val="1"/>
      <w:marLeft w:val="0"/>
      <w:marRight w:val="0"/>
      <w:marTop w:val="0"/>
      <w:marBottom w:val="0"/>
      <w:divBdr>
        <w:top w:val="none" w:sz="0" w:space="0" w:color="auto"/>
        <w:left w:val="none" w:sz="0" w:space="0" w:color="auto"/>
        <w:bottom w:val="none" w:sz="0" w:space="0" w:color="auto"/>
        <w:right w:val="none" w:sz="0" w:space="0" w:color="auto"/>
      </w:divBdr>
    </w:div>
    <w:div w:id="1991595752">
      <w:bodyDiv w:val="1"/>
      <w:marLeft w:val="0"/>
      <w:marRight w:val="0"/>
      <w:marTop w:val="0"/>
      <w:marBottom w:val="0"/>
      <w:divBdr>
        <w:top w:val="none" w:sz="0" w:space="0" w:color="auto"/>
        <w:left w:val="none" w:sz="0" w:space="0" w:color="auto"/>
        <w:bottom w:val="none" w:sz="0" w:space="0" w:color="auto"/>
        <w:right w:val="none" w:sz="0" w:space="0" w:color="auto"/>
      </w:divBdr>
    </w:div>
    <w:div w:id="21362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44/jak.22.1.1-9" TargetMode="External"/><Relationship Id="rId18" Type="http://schemas.openxmlformats.org/officeDocument/2006/relationships/hyperlink" Target="http://www.jstor.org/stable/243232" TargetMode="External"/><Relationship Id="rId26" Type="http://schemas.openxmlformats.org/officeDocument/2006/relationships/hyperlink" Target="https://doi.org/10.22219/jrak.v11i1.16140" TargetMode="External"/><Relationship Id="rId3" Type="http://schemas.openxmlformats.org/officeDocument/2006/relationships/styles" Target="styles.xml"/><Relationship Id="rId21" Type="http://schemas.openxmlformats.org/officeDocument/2006/relationships/hyperlink" Target="https://doi.org/10.29303/akurasi.v3i1.24" TargetMode="External"/><Relationship Id="rId7" Type="http://schemas.openxmlformats.org/officeDocument/2006/relationships/endnotes" Target="endnotes.xml"/><Relationship Id="rId12" Type="http://schemas.openxmlformats.org/officeDocument/2006/relationships/hyperlink" Target="https://doi.org/10.1108/ajar-10-2022-0347" TargetMode="External"/><Relationship Id="rId17" Type="http://schemas.openxmlformats.org/officeDocument/2006/relationships/hyperlink" Target="https://doi.org/10.25105/mraai.v23i1.16790" TargetMode="External"/><Relationship Id="rId25" Type="http://schemas.openxmlformats.org/officeDocument/2006/relationships/hyperlink" Target="https://doi.org/10.31014/aior.1992.03.01.193" TargetMode="External"/><Relationship Id="rId2" Type="http://schemas.openxmlformats.org/officeDocument/2006/relationships/numbering" Target="numbering.xml"/><Relationship Id="rId16" Type="http://schemas.openxmlformats.org/officeDocument/2006/relationships/hyperlink" Target="https://doi.org/10.1016/j.jacceco.2010.09.002" TargetMode="External"/><Relationship Id="rId20" Type="http://schemas.openxmlformats.org/officeDocument/2006/relationships/hyperlink" Target="https://doi.org/10.33087/jiubj.v20i2.99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087/jmas.v8i1.902" TargetMode="External"/><Relationship Id="rId24" Type="http://schemas.openxmlformats.org/officeDocument/2006/relationships/hyperlink" Target="https://www.idx.co.id/id/berita/siaran-pers/206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3917/reaksi.v4i3.9338" TargetMode="External"/><Relationship Id="rId23" Type="http://schemas.openxmlformats.org/officeDocument/2006/relationships/hyperlink" Target="https://doi.org/10.55122/mediastima.v27i2.293" TargetMode="External"/><Relationship Id="rId28" Type="http://schemas.openxmlformats.org/officeDocument/2006/relationships/footer" Target="footer1.xml"/><Relationship Id="rId10" Type="http://schemas.openxmlformats.org/officeDocument/2006/relationships/hyperlink" Target="https://doi.org/10.30656/jak.v7i2.2307" TargetMode="External"/><Relationship Id="rId19" Type="http://schemas.openxmlformats.org/officeDocument/2006/relationships/hyperlink" Target="https://doi.org/10.1016/0304-405X(76)90026-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jstm.inarah.co.id" TargetMode="External"/><Relationship Id="rId14" Type="http://schemas.openxmlformats.org/officeDocument/2006/relationships/hyperlink" Target="https://doi.org/10.1080/23311975.2021.1953678" TargetMode="External"/><Relationship Id="rId22" Type="http://schemas.openxmlformats.org/officeDocument/2006/relationships/hyperlink" Target="https://doi.org/10.31955/mea.v6i3.2683"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C42C-4132-44FE-AB44-CE74888B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5841</TotalTime>
  <Pages>20</Pages>
  <Words>8328</Words>
  <Characters>47474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Qinaya Azahra</dc:creator>
  <cp:keywords>docId:47777B4068F34D8506503A47D69699D4</cp:keywords>
  <dc:description/>
  <cp:lastModifiedBy>Fajar Dwi Kuncoro</cp:lastModifiedBy>
  <cp:revision>37</cp:revision>
  <cp:lastPrinted>2024-06-20T16:10:00Z</cp:lastPrinted>
  <dcterms:created xsi:type="dcterms:W3CDTF">2025-09-24T07:15:00Z</dcterms:created>
  <dcterms:modified xsi:type="dcterms:W3CDTF">2025-09-30T05:50:00Z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d8f37310-5a0d-41c1-b900-3cc858e34968</vt:lpwstr>
  </property>
</Properties>
</file>